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413" w:rsidRDefault="00402EB1">
      <w:pPr>
        <w:spacing w:line="540" w:lineRule="exact"/>
        <w:rPr>
          <w:rFonts w:ascii="黑体" w:eastAsia="黑体" w:hAnsi="黑体"/>
          <w:sz w:val="32"/>
          <w:szCs w:val="32"/>
        </w:rPr>
      </w:pPr>
      <w:r>
        <w:rPr>
          <w:rFonts w:ascii="黑体" w:eastAsia="黑体" w:hAnsi="黑体" w:hint="eastAsia"/>
          <w:sz w:val="32"/>
          <w:szCs w:val="32"/>
        </w:rPr>
        <w:t xml:space="preserve">附件1： </w:t>
      </w:r>
    </w:p>
    <w:p w:rsidR="005E3413" w:rsidRDefault="005E3413">
      <w:pPr>
        <w:spacing w:line="540" w:lineRule="exact"/>
        <w:rPr>
          <w:rFonts w:ascii="方正小标宋_GBK" w:eastAsia="方正小标宋_GBK" w:hAnsi="宋体"/>
          <w:sz w:val="44"/>
          <w:szCs w:val="44"/>
        </w:rPr>
      </w:pPr>
    </w:p>
    <w:p w:rsidR="005E3413" w:rsidRDefault="00402EB1">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2018年度新疆喀什地区教育局汇总部门决算</w:t>
      </w:r>
    </w:p>
    <w:p w:rsidR="005E3413" w:rsidRDefault="00402EB1">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5E3413" w:rsidRDefault="005E3413">
      <w:pPr>
        <w:spacing w:line="540" w:lineRule="exact"/>
        <w:rPr>
          <w:rFonts w:ascii="仿宋_GB2312" w:eastAsia="仿宋_GB2312" w:hAnsi="宋体"/>
          <w:sz w:val="32"/>
          <w:szCs w:val="32"/>
        </w:rPr>
      </w:pPr>
    </w:p>
    <w:p w:rsidR="005E3413" w:rsidRDefault="00402EB1">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5E3413" w:rsidRDefault="005E3413">
      <w:pPr>
        <w:spacing w:line="540" w:lineRule="exact"/>
        <w:rPr>
          <w:rFonts w:ascii="仿宋_GB2312" w:eastAsia="仿宋_GB2312" w:hAnsi="宋体"/>
          <w:b/>
          <w:kern w:val="0"/>
          <w:sz w:val="32"/>
          <w:szCs w:val="32"/>
        </w:rPr>
      </w:pPr>
    </w:p>
    <w:p w:rsidR="005E3413" w:rsidRDefault="00402EB1">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5E3413" w:rsidRDefault="00402EB1">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5E3413" w:rsidRDefault="00402EB1">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5E3413" w:rsidRDefault="00402EB1">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六、政府采购情况</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七、其他重要事项的情况</w:t>
      </w:r>
    </w:p>
    <w:p w:rsidR="005E3413" w:rsidRDefault="00402EB1">
      <w:pPr>
        <w:spacing w:line="540" w:lineRule="exact"/>
        <w:ind w:firstLineChars="200" w:firstLine="640"/>
        <w:rPr>
          <w:rFonts w:ascii="仿宋_GB2312" w:eastAsia="仿宋_GB2312"/>
          <w:sz w:val="32"/>
          <w:szCs w:val="32"/>
        </w:rPr>
      </w:pPr>
      <w:bookmarkStart w:id="0" w:name="OLE_LINK95"/>
      <w:bookmarkStart w:id="1" w:name="OLE_LINK94"/>
      <w:r>
        <w:rPr>
          <w:rFonts w:ascii="仿宋_GB2312" w:eastAsia="仿宋_GB2312" w:hint="eastAsia"/>
          <w:sz w:val="32"/>
          <w:szCs w:val="32"/>
        </w:rPr>
        <w:t>（一）国有资产占用情况说明</w:t>
      </w:r>
      <w:bookmarkEnd w:id="0"/>
      <w:bookmarkEnd w:id="1"/>
    </w:p>
    <w:p w:rsidR="005E3413" w:rsidRDefault="00402EB1">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5E3413" w:rsidRDefault="00402EB1">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5E3413" w:rsidRDefault="00402EB1">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5E3413" w:rsidRDefault="00402EB1">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5E3413" w:rsidRDefault="005E3413">
      <w:pPr>
        <w:spacing w:line="540" w:lineRule="exact"/>
        <w:ind w:firstLineChars="200" w:firstLine="640"/>
        <w:rPr>
          <w:rFonts w:ascii="黑体" w:eastAsia="黑体" w:hAnsi="黑体"/>
          <w:sz w:val="32"/>
          <w:szCs w:val="32"/>
        </w:rPr>
      </w:pPr>
    </w:p>
    <w:p w:rsidR="005E3413" w:rsidRDefault="00402EB1">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5E3413" w:rsidRDefault="00402EB1">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5E3413" w:rsidRDefault="00402EB1">
      <w:pPr>
        <w:spacing w:line="500" w:lineRule="exact"/>
        <w:rPr>
          <w:rFonts w:ascii="黑体" w:eastAsia="黑体" w:hAnsi="黑体" w:cs="宋体"/>
          <w:bCs/>
          <w:kern w:val="0"/>
          <w:sz w:val="32"/>
          <w:szCs w:val="32"/>
        </w:rPr>
      </w:pPr>
      <w:r>
        <w:rPr>
          <w:rFonts w:ascii="仿宋_GB2312" w:eastAsia="仿宋_GB2312" w:hint="eastAsia"/>
          <w:sz w:val="32"/>
          <w:szCs w:val="32"/>
        </w:rPr>
        <w:t xml:space="preserve">    1、全面贯彻执行党和国家有关教育工作的方针政策、法律法规，拟订喀什地区落实自治区教育改革与发展政策和规划的措施、方案，并组织实施。</w:t>
      </w:r>
      <w:r>
        <w:rPr>
          <w:rFonts w:ascii="仿宋_GB2312" w:eastAsia="仿宋_GB2312" w:hint="eastAsia"/>
          <w:sz w:val="32"/>
          <w:szCs w:val="32"/>
        </w:rPr>
        <w:br/>
        <w:t xml:space="preserve">    2、负责各级各类教育的统筹规划和综合协调，制定教育事业发展规划和计划，确定教育事业发展重点、规模、速度和步骤，指导各级各类学校的教育教学改革；负责教育基本信息的统计、分析和发布。</w:t>
      </w:r>
      <w:r>
        <w:rPr>
          <w:rFonts w:ascii="仿宋_GB2312" w:eastAsia="仿宋_GB2312" w:hint="eastAsia"/>
          <w:sz w:val="32"/>
          <w:szCs w:val="32"/>
        </w:rPr>
        <w:br/>
        <w:t xml:space="preserve">    3、负责国家通用语言文字宣传规划、规范推广、普及应用等工</w:t>
      </w:r>
      <w:r>
        <w:rPr>
          <w:rFonts w:ascii="仿宋_GB2312" w:eastAsia="仿宋_GB2312" w:hint="eastAsia"/>
          <w:sz w:val="32"/>
          <w:szCs w:val="32"/>
        </w:rPr>
        <w:lastRenderedPageBreak/>
        <w:t>作；负责国家通用语言文字的社会学习、普及学习和再培养培训。</w:t>
      </w:r>
      <w:r>
        <w:rPr>
          <w:rFonts w:ascii="仿宋_GB2312" w:eastAsia="仿宋_GB2312" w:hint="eastAsia"/>
          <w:sz w:val="32"/>
          <w:szCs w:val="32"/>
        </w:rPr>
        <w:br/>
        <w:t xml:space="preserve">    4、负责民族语言文字规范化、标准化、信息化工作；负责民族语言文字改革工作；负责有关民族语言文字监测研究、科研和文化保护工作；承担民族语言文字翻译专业人才规划和培养培训工作。</w:t>
      </w:r>
      <w:r>
        <w:rPr>
          <w:rFonts w:ascii="仿宋_GB2312" w:eastAsia="仿宋_GB2312" w:hint="eastAsia"/>
          <w:sz w:val="32"/>
          <w:szCs w:val="32"/>
        </w:rPr>
        <w:br/>
        <w:t xml:space="preserve">    5、会同相关部门编制地区级教育经费和项目预算，规划实施并监督管理；落实国家、自治区教育经费筹措、管理和学生资助的政策；协调指导全地区各级各类学校学生资管理工作。</w:t>
      </w:r>
      <w:r>
        <w:rPr>
          <w:rFonts w:ascii="仿宋_GB2312" w:eastAsia="仿宋_GB2312" w:hint="eastAsia"/>
          <w:sz w:val="32"/>
          <w:szCs w:val="32"/>
        </w:rPr>
        <w:br/>
        <w:t xml:space="preserve">    6、指导各级各类学校的思想政治建设和德育工作、体育卫生艺术教育、劳动实践教育和科学教育，协助有关部门做好学校国防教育和军训工作。</w:t>
      </w:r>
      <w:r>
        <w:rPr>
          <w:rFonts w:ascii="仿宋_GB2312" w:eastAsia="仿宋_GB2312" w:hint="eastAsia"/>
          <w:sz w:val="32"/>
          <w:szCs w:val="32"/>
        </w:rPr>
        <w:br/>
        <w:t xml:space="preserve">    7、指导教育系统单位、各级各类学校的安全和政治保卫；做好应急协调和措施的督促落实工作。</w:t>
      </w:r>
      <w:r>
        <w:rPr>
          <w:rFonts w:ascii="仿宋_GB2312" w:eastAsia="仿宋_GB2312" w:hint="eastAsia"/>
          <w:sz w:val="32"/>
          <w:szCs w:val="32"/>
        </w:rPr>
        <w:br/>
        <w:t xml:space="preserve">    8、负责义务教育的宏观指导和协调，推进义务教育均衡发展，促进教育公平；指导普通高中教育、学前教育、特殊教育和民办教育工作。</w:t>
      </w:r>
      <w:r>
        <w:rPr>
          <w:rFonts w:ascii="仿宋_GB2312" w:eastAsia="仿宋_GB2312" w:hint="eastAsia"/>
          <w:sz w:val="32"/>
          <w:szCs w:val="32"/>
        </w:rPr>
        <w:br/>
        <w:t xml:space="preserve">    9、统筹指导教育发展改革和职业指导工作；参与拟订中高职院校毕业生就业政策，指导开展就业创业工作。</w:t>
      </w:r>
      <w:r>
        <w:rPr>
          <w:rFonts w:ascii="仿宋_GB2312" w:eastAsia="仿宋_GB2312" w:hint="eastAsia"/>
          <w:sz w:val="32"/>
          <w:szCs w:val="32"/>
        </w:rPr>
        <w:br/>
        <w:t xml:space="preserve">    10、指导教育系统人才队伍建设，主管教师培养规划和组织实施工作，负贲公费师范毕业生就业管理服务工作；负责教师资格认定和继续教育等工作；组织、指导教育系统专业技术职务评聘和民族语言文字翻译职称评定工作。</w:t>
      </w:r>
      <w:r>
        <w:rPr>
          <w:rFonts w:ascii="仿宋_GB2312" w:eastAsia="仿宋_GB2312" w:hint="eastAsia"/>
          <w:sz w:val="32"/>
          <w:szCs w:val="32"/>
        </w:rPr>
        <w:br/>
        <w:t xml:space="preserve">    11、负责管理学历教育及其考试工作，统筹各级各类招生计划并组织实施。</w:t>
      </w:r>
      <w:r>
        <w:rPr>
          <w:rFonts w:ascii="仿宋_GB2312" w:eastAsia="仿宋_GB2312" w:hint="eastAsia"/>
          <w:sz w:val="32"/>
          <w:szCs w:val="32"/>
        </w:rPr>
        <w:br/>
        <w:t xml:space="preserve">    12、承担行署教育督导委员会的具体工作，制定教育督导计划和评估方案，并进行指导、监督、检查和评估。</w:t>
      </w:r>
      <w:r>
        <w:rPr>
          <w:rFonts w:ascii="仿宋_GB2312" w:eastAsia="仿宋_GB2312" w:hint="eastAsia"/>
          <w:sz w:val="32"/>
          <w:szCs w:val="32"/>
        </w:rPr>
        <w:br/>
      </w:r>
      <w:r>
        <w:rPr>
          <w:rFonts w:ascii="仿宋_GB2312" w:eastAsia="仿宋_GB2312" w:hint="eastAsia"/>
          <w:sz w:val="32"/>
          <w:szCs w:val="32"/>
        </w:rPr>
        <w:lastRenderedPageBreak/>
        <w:t xml:space="preserve">    13、完成地委、行署交办的其他任务。 </w:t>
      </w:r>
    </w:p>
    <w:p w:rsidR="005E3413" w:rsidRDefault="00402EB1">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5E3413" w:rsidRDefault="00402EB1">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从决算单位构成看，</w:t>
      </w:r>
      <w:r>
        <w:rPr>
          <w:rFonts w:ascii="仿宋_GB2312" w:eastAsia="仿宋_GB2312"/>
          <w:sz w:val="32"/>
          <w:szCs w:val="32"/>
        </w:rPr>
        <w:t>新疆喀什地区教育局汇总</w:t>
      </w:r>
      <w:r>
        <w:rPr>
          <w:rFonts w:ascii="仿宋_GB2312" w:eastAsia="仿宋_GB2312" w:hint="eastAsia"/>
          <w:sz w:val="32"/>
          <w:szCs w:val="32"/>
        </w:rPr>
        <w:t>部门决算包括：</w:t>
      </w:r>
      <w:r>
        <w:rPr>
          <w:rFonts w:ascii="仿宋_GB2312" w:eastAsia="仿宋_GB2312"/>
          <w:sz w:val="32"/>
          <w:szCs w:val="32"/>
        </w:rPr>
        <w:t>新疆喀什地区教育局汇总</w:t>
      </w:r>
      <w:r>
        <w:rPr>
          <w:rFonts w:ascii="仿宋_GB2312" w:eastAsia="仿宋_GB2312" w:hint="eastAsia"/>
          <w:sz w:val="32"/>
          <w:szCs w:val="32"/>
        </w:rPr>
        <w:t>部门本级决算、所属单位决算等。</w:t>
      </w:r>
    </w:p>
    <w:tbl>
      <w:tblPr>
        <w:tblStyle w:val="aa"/>
        <w:tblpPr w:leftFromText="180" w:rightFromText="180" w:vertAnchor="text" w:horzAnchor="margin" w:tblpX="250" w:tblpY="1091"/>
        <w:tblOverlap w:val="never"/>
        <w:tblW w:w="0" w:type="auto"/>
        <w:tblLayout w:type="fixed"/>
        <w:tblLook w:val="04A0" w:firstRow="1" w:lastRow="0" w:firstColumn="1" w:lastColumn="0" w:noHBand="0" w:noVBand="1"/>
      </w:tblPr>
      <w:tblGrid>
        <w:gridCol w:w="1134"/>
        <w:gridCol w:w="5211"/>
        <w:gridCol w:w="2444"/>
      </w:tblGrid>
      <w:tr w:rsidR="002B56B7" w:rsidTr="002B56B7">
        <w:trPr>
          <w:trHeight w:val="498"/>
        </w:trPr>
        <w:tc>
          <w:tcPr>
            <w:tcW w:w="1134" w:type="dxa"/>
          </w:tcPr>
          <w:p w:rsidR="002B56B7" w:rsidRDefault="002B56B7" w:rsidP="002B56B7">
            <w:pPr>
              <w:spacing w:line="500" w:lineRule="exact"/>
              <w:jc w:val="left"/>
            </w:pPr>
            <w:r>
              <w:rPr>
                <w:rFonts w:hint="eastAsia"/>
              </w:rPr>
              <w:t>序号</w:t>
            </w:r>
          </w:p>
        </w:tc>
        <w:tc>
          <w:tcPr>
            <w:tcW w:w="5211" w:type="dxa"/>
            <w:vAlign w:val="center"/>
          </w:tcPr>
          <w:p w:rsidR="002B56B7" w:rsidRDefault="002B56B7" w:rsidP="002B56B7">
            <w:pPr>
              <w:spacing w:line="500" w:lineRule="exact"/>
              <w:ind w:firstLineChars="500" w:firstLine="160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444" w:type="dxa"/>
            <w:vAlign w:val="center"/>
          </w:tcPr>
          <w:p w:rsidR="002B56B7" w:rsidRDefault="002B56B7" w:rsidP="002B56B7">
            <w:pPr>
              <w:spacing w:line="500" w:lineRule="exact"/>
              <w:jc w:val="center"/>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2B56B7" w:rsidTr="002B56B7">
        <w:trPr>
          <w:trHeight w:val="498"/>
        </w:trPr>
        <w:tc>
          <w:tcPr>
            <w:tcW w:w="1134" w:type="dxa"/>
          </w:tcPr>
          <w:p w:rsidR="002B56B7" w:rsidRDefault="002B56B7" w:rsidP="002B56B7">
            <w:pPr>
              <w:spacing w:line="500" w:lineRule="exact"/>
              <w:jc w:val="center"/>
            </w:pPr>
            <w:r>
              <w:rPr>
                <w:rFonts w:hint="eastAsia"/>
              </w:rPr>
              <w:t>1</w:t>
            </w:r>
          </w:p>
        </w:tc>
        <w:tc>
          <w:tcPr>
            <w:tcW w:w="5211" w:type="dxa"/>
          </w:tcPr>
          <w:p w:rsidR="002B56B7" w:rsidRPr="002B56B7" w:rsidRDefault="002B56B7" w:rsidP="002B56B7">
            <w:pPr>
              <w:spacing w:line="500" w:lineRule="exact"/>
              <w:jc w:val="left"/>
              <w:rPr>
                <w:rFonts w:ascii="仿宋_GB2312" w:eastAsia="仿宋_GB2312"/>
              </w:rPr>
            </w:pPr>
            <w:r w:rsidRPr="002B56B7">
              <w:rPr>
                <w:rFonts w:ascii="仿宋_GB2312" w:eastAsia="仿宋_GB2312" w:hint="eastAsia"/>
                <w:position w:val="-1"/>
                <w:sz w:val="32"/>
              </w:rPr>
              <w:t>喀什地区教育局汇总</w:t>
            </w:r>
          </w:p>
        </w:tc>
        <w:tc>
          <w:tcPr>
            <w:tcW w:w="2444" w:type="dxa"/>
          </w:tcPr>
          <w:p w:rsidR="002B56B7" w:rsidRDefault="002B56B7" w:rsidP="002B56B7">
            <w:pPr>
              <w:spacing w:line="500" w:lineRule="exact"/>
              <w:jc w:val="left"/>
            </w:pPr>
          </w:p>
        </w:tc>
      </w:tr>
      <w:tr w:rsidR="002B56B7" w:rsidTr="002B56B7">
        <w:trPr>
          <w:trHeight w:val="515"/>
        </w:trPr>
        <w:tc>
          <w:tcPr>
            <w:tcW w:w="1134" w:type="dxa"/>
          </w:tcPr>
          <w:p w:rsidR="002B56B7" w:rsidRDefault="002B56B7" w:rsidP="002B56B7">
            <w:pPr>
              <w:spacing w:line="500" w:lineRule="exact"/>
              <w:jc w:val="center"/>
            </w:pPr>
            <w:r>
              <w:rPr>
                <w:rFonts w:hint="eastAsia"/>
              </w:rPr>
              <w:t>2</w:t>
            </w:r>
          </w:p>
        </w:tc>
        <w:tc>
          <w:tcPr>
            <w:tcW w:w="5211" w:type="dxa"/>
          </w:tcPr>
          <w:p w:rsidR="002B56B7" w:rsidRPr="002B56B7" w:rsidRDefault="002B56B7" w:rsidP="002B56B7">
            <w:pPr>
              <w:spacing w:line="500" w:lineRule="exact"/>
              <w:jc w:val="left"/>
              <w:rPr>
                <w:rFonts w:ascii="仿宋_GB2312" w:eastAsia="仿宋_GB2312"/>
              </w:rPr>
            </w:pPr>
            <w:r w:rsidRPr="002B56B7">
              <w:rPr>
                <w:rFonts w:ascii="仿宋_GB2312" w:eastAsia="仿宋_GB2312" w:hAnsi="宋体" w:cs="宋体" w:hint="eastAsia"/>
                <w:position w:val="-1"/>
                <w:sz w:val="32"/>
              </w:rPr>
              <w:t>喀什地区教育局（本级）</w:t>
            </w:r>
          </w:p>
        </w:tc>
        <w:tc>
          <w:tcPr>
            <w:tcW w:w="2444" w:type="dxa"/>
          </w:tcPr>
          <w:p w:rsidR="002B56B7" w:rsidRDefault="002B56B7" w:rsidP="002B56B7">
            <w:pPr>
              <w:spacing w:line="500" w:lineRule="exact"/>
              <w:jc w:val="left"/>
            </w:pPr>
          </w:p>
        </w:tc>
      </w:tr>
      <w:tr w:rsidR="002B56B7" w:rsidTr="002B56B7">
        <w:trPr>
          <w:trHeight w:val="515"/>
        </w:trPr>
        <w:tc>
          <w:tcPr>
            <w:tcW w:w="1134" w:type="dxa"/>
          </w:tcPr>
          <w:p w:rsidR="002B56B7" w:rsidRDefault="002B56B7" w:rsidP="002B56B7">
            <w:pPr>
              <w:spacing w:line="500" w:lineRule="exact"/>
              <w:jc w:val="center"/>
            </w:pPr>
            <w:r>
              <w:rPr>
                <w:rFonts w:hint="eastAsia"/>
              </w:rPr>
              <w:t>3</w:t>
            </w:r>
          </w:p>
        </w:tc>
        <w:tc>
          <w:tcPr>
            <w:tcW w:w="5211" w:type="dxa"/>
          </w:tcPr>
          <w:p w:rsidR="002B56B7" w:rsidRPr="002B56B7" w:rsidRDefault="002B56B7" w:rsidP="002B56B7">
            <w:pPr>
              <w:spacing w:line="500" w:lineRule="exact"/>
              <w:jc w:val="left"/>
              <w:rPr>
                <w:rFonts w:ascii="仿宋_GB2312" w:eastAsia="仿宋_GB2312"/>
              </w:rPr>
            </w:pPr>
            <w:r w:rsidRPr="002B56B7">
              <w:rPr>
                <w:rFonts w:ascii="仿宋_GB2312" w:eastAsia="仿宋_GB2312" w:hAnsi="宋体" w:cs="宋体" w:hint="eastAsia"/>
                <w:position w:val="-1"/>
                <w:sz w:val="32"/>
              </w:rPr>
              <w:t>喀什教学工作办公室</w:t>
            </w:r>
          </w:p>
        </w:tc>
        <w:tc>
          <w:tcPr>
            <w:tcW w:w="2444" w:type="dxa"/>
          </w:tcPr>
          <w:p w:rsidR="002B56B7" w:rsidRDefault="002B56B7" w:rsidP="002B56B7">
            <w:pPr>
              <w:spacing w:line="500" w:lineRule="exact"/>
              <w:jc w:val="left"/>
            </w:pPr>
          </w:p>
        </w:tc>
      </w:tr>
    </w:tbl>
    <w:p w:rsidR="005E3413" w:rsidRDefault="00402EB1">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新疆喀什地区教育局汇总</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3"/>
    </w:p>
    <w:p w:rsidR="005E3413" w:rsidRDefault="005E3413">
      <w:pPr>
        <w:spacing w:line="500" w:lineRule="exact"/>
        <w:rPr>
          <w:rFonts w:ascii="仿宋_GB2312" w:eastAsia="仿宋_GB2312" w:hAnsi="宋体" w:cs="宋体"/>
          <w:kern w:val="0"/>
          <w:sz w:val="32"/>
          <w:szCs w:val="32"/>
        </w:rPr>
      </w:pPr>
    </w:p>
    <w:p w:rsidR="005E3413" w:rsidRDefault="00402EB1">
      <w:pPr>
        <w:spacing w:line="540" w:lineRule="exact"/>
        <w:jc w:val="center"/>
        <w:rPr>
          <w:rFonts w:ascii="黑体" w:eastAsia="黑体" w:hAnsi="黑体"/>
          <w:sz w:val="32"/>
          <w:szCs w:val="32"/>
        </w:rPr>
      </w:pPr>
      <w:r>
        <w:rPr>
          <w:rFonts w:ascii="黑体" w:eastAsia="黑体" w:hAnsi="黑体" w:hint="eastAsia"/>
          <w:sz w:val="32"/>
          <w:szCs w:val="32"/>
        </w:rPr>
        <w:t>第二部分 部门决算情况说明</w:t>
      </w:r>
    </w:p>
    <w:p w:rsidR="005E3413" w:rsidRDefault="00402EB1">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5E3413" w:rsidRDefault="00402EB1">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5E3413" w:rsidRDefault="00402EB1">
      <w:pPr>
        <w:spacing w:line="540" w:lineRule="exact"/>
        <w:ind w:firstLineChars="200" w:firstLine="640"/>
        <w:rPr>
          <w:rFonts w:ascii="仿宋_GB2312" w:eastAsia="仿宋_GB2312" w:hAnsi="Calibri"/>
          <w:color w:val="000000" w:themeColor="text1"/>
          <w:sz w:val="32"/>
          <w:szCs w:val="32"/>
          <w:lang w:val="en-GB"/>
        </w:rPr>
      </w:pPr>
      <w:bookmarkStart w:id="4" w:name="OLE_LINK100"/>
      <w:bookmarkStart w:id="5" w:name="OLE_LINK99"/>
      <w:bookmarkStart w:id="6"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4,782.57</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，与上年相比，减少93.23万元，下降1.91%，减少的主要原因是：</w:t>
      </w:r>
      <w:r>
        <w:rPr>
          <w:rFonts w:ascii="仿宋_GB2312" w:eastAsia="仿宋_GB2312" w:hint="eastAsia"/>
          <w:color w:val="000000" w:themeColor="text1"/>
          <w:sz w:val="32"/>
          <w:szCs w:val="32"/>
        </w:rPr>
        <w:t>事业收入减少、自治区教育厅未拨付上级补助收入；</w:t>
      </w:r>
      <w:bookmarkStart w:id="7" w:name="OLE_LINK53"/>
      <w:bookmarkEnd w:id="6"/>
      <w:r>
        <w:rPr>
          <w:rFonts w:ascii="仿宋_GB2312" w:eastAsia="仿宋_GB2312" w:hint="eastAsia"/>
          <w:color w:val="000000" w:themeColor="text1"/>
          <w:sz w:val="32"/>
          <w:szCs w:val="32"/>
        </w:rPr>
        <w:t>支出</w:t>
      </w:r>
      <w:r>
        <w:rPr>
          <w:rFonts w:ascii="仿宋_GB2312" w:eastAsia="仿宋_GB2312" w:hint="eastAsia"/>
          <w:sz w:val="32"/>
          <w:szCs w:val="32"/>
        </w:rPr>
        <w:t>4,870.6</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，与上年相比，减少66.92万元，下降1.36%，减少的主要原因是：</w:t>
      </w:r>
      <w:r>
        <w:rPr>
          <w:rFonts w:ascii="仿宋_GB2312" w:eastAsia="仿宋_GB2312" w:hint="eastAsia"/>
          <w:color w:val="000000" w:themeColor="text1"/>
          <w:sz w:val="32"/>
          <w:szCs w:val="32"/>
        </w:rPr>
        <w:t>招办保密室保密柜、普通高中设备购置于2017年完成；</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，与上年相比，减少88.03万元，下降100%，减少的主要原因是：</w:t>
      </w:r>
      <w:r>
        <w:rPr>
          <w:rFonts w:ascii="仿宋_GB2312" w:eastAsia="仿宋_GB2312"/>
          <w:color w:val="000000" w:themeColor="text1"/>
          <w:sz w:val="32"/>
          <w:szCs w:val="32"/>
        </w:rPr>
        <w:t>，加大支出力度，本年度收支平衡无结余。</w:t>
      </w:r>
      <w:bookmarkEnd w:id="8"/>
    </w:p>
    <w:p w:rsidR="005E3413" w:rsidRDefault="00402EB1">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5E3413" w:rsidRDefault="00402EB1">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4,782.57</w:t>
      </w:r>
      <w:r>
        <w:rPr>
          <w:rFonts w:ascii="仿宋_GB2312" w:eastAsia="仿宋_GB2312" w:hint="eastAsia"/>
          <w:color w:val="000000" w:themeColor="text1"/>
          <w:sz w:val="32"/>
          <w:szCs w:val="32"/>
        </w:rPr>
        <w:t>万元，其中：</w:t>
      </w:r>
      <w:bookmarkStart w:id="9" w:name="OLE_LINK1"/>
      <w:r>
        <w:rPr>
          <w:rFonts w:ascii="仿宋_GB2312" w:eastAsia="仿宋_GB2312" w:hint="eastAsia"/>
          <w:color w:val="000000" w:themeColor="text1"/>
          <w:sz w:val="32"/>
          <w:szCs w:val="32"/>
        </w:rPr>
        <w:t>财政拨款收入</w:t>
      </w:r>
      <w:bookmarkEnd w:id="9"/>
      <w:r>
        <w:rPr>
          <w:rFonts w:ascii="仿宋_GB2312" w:eastAsia="仿宋_GB2312" w:hint="eastAsia"/>
          <w:sz w:val="32"/>
          <w:szCs w:val="32"/>
        </w:rPr>
        <w:t>3,786.25</w:t>
      </w:r>
      <w:r>
        <w:rPr>
          <w:rFonts w:ascii="仿宋_GB2312" w:eastAsia="仿宋_GB2312" w:hint="eastAsia"/>
          <w:color w:val="000000" w:themeColor="text1"/>
          <w:sz w:val="32"/>
          <w:szCs w:val="32"/>
        </w:rPr>
        <w:lastRenderedPageBreak/>
        <w:t>万元，占</w:t>
      </w:r>
      <w:r>
        <w:rPr>
          <w:rFonts w:ascii="仿宋_GB2312" w:eastAsia="仿宋_GB2312" w:hint="eastAsia"/>
          <w:sz w:val="32"/>
          <w:szCs w:val="32"/>
        </w:rPr>
        <w:t>79.17%</w:t>
      </w:r>
      <w:r>
        <w:rPr>
          <w:rFonts w:ascii="仿宋_GB2312" w:eastAsia="仿宋_GB2312" w:hint="eastAsia"/>
          <w:color w:val="000000" w:themeColor="text1"/>
          <w:sz w:val="32"/>
          <w:szCs w:val="32"/>
        </w:rPr>
        <w:t>；</w:t>
      </w:r>
      <w:bookmarkStart w:id="10" w:name="OLE_LINK2"/>
      <w:r>
        <w:rPr>
          <w:rFonts w:ascii="仿宋_GB2312" w:eastAsia="仿宋_GB2312" w:hint="eastAsia"/>
          <w:color w:val="000000" w:themeColor="text1"/>
          <w:sz w:val="32"/>
          <w:szCs w:val="32"/>
        </w:rPr>
        <w:t>上级补助收入</w:t>
      </w:r>
      <w:bookmarkEnd w:id="1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1" w:name="OLE_LINK3"/>
      <w:r>
        <w:rPr>
          <w:rFonts w:ascii="仿宋_GB2312" w:eastAsia="仿宋_GB2312" w:hint="eastAsia"/>
          <w:color w:val="000000" w:themeColor="text1"/>
          <w:sz w:val="32"/>
          <w:szCs w:val="32"/>
        </w:rPr>
        <w:t>事业收入</w:t>
      </w:r>
      <w:bookmarkEnd w:id="11"/>
      <w:r>
        <w:rPr>
          <w:rFonts w:ascii="仿宋_GB2312" w:eastAsia="仿宋_GB2312" w:hint="eastAsia"/>
          <w:sz w:val="32"/>
          <w:szCs w:val="32"/>
        </w:rPr>
        <w:t>931.03</w:t>
      </w:r>
      <w:r>
        <w:rPr>
          <w:rFonts w:ascii="仿宋_GB2312" w:eastAsia="仿宋_GB2312" w:hint="eastAsia"/>
          <w:color w:val="000000" w:themeColor="text1"/>
          <w:sz w:val="32"/>
          <w:szCs w:val="32"/>
        </w:rPr>
        <w:t>万元，占</w:t>
      </w:r>
      <w:r>
        <w:rPr>
          <w:rFonts w:ascii="仿宋_GB2312" w:eastAsia="仿宋_GB2312" w:hint="eastAsia"/>
          <w:sz w:val="32"/>
          <w:szCs w:val="32"/>
        </w:rPr>
        <w:t>19.47%</w:t>
      </w:r>
      <w:r>
        <w:rPr>
          <w:rFonts w:ascii="仿宋_GB2312" w:eastAsia="仿宋_GB2312" w:hint="eastAsia"/>
          <w:color w:val="000000" w:themeColor="text1"/>
          <w:sz w:val="32"/>
          <w:szCs w:val="32"/>
        </w:rPr>
        <w:t>；</w:t>
      </w:r>
      <w:bookmarkStart w:id="12" w:name="OLE_LINK4"/>
      <w:r>
        <w:rPr>
          <w:rFonts w:ascii="仿宋_GB2312" w:eastAsia="仿宋_GB2312" w:hint="eastAsia"/>
          <w:color w:val="000000" w:themeColor="text1"/>
          <w:sz w:val="32"/>
          <w:szCs w:val="32"/>
        </w:rPr>
        <w:t>经营收入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5"/>
      <w:r>
        <w:rPr>
          <w:rFonts w:ascii="仿宋_GB2312" w:eastAsia="仿宋_GB2312" w:hint="eastAsia"/>
          <w:color w:val="000000" w:themeColor="text1"/>
          <w:sz w:val="32"/>
          <w:szCs w:val="32"/>
        </w:rPr>
        <w:t>附属单位缴款</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6"/>
      <w:r>
        <w:rPr>
          <w:rFonts w:ascii="仿宋_GB2312" w:eastAsia="仿宋_GB2312" w:hint="eastAsia"/>
          <w:color w:val="000000" w:themeColor="text1"/>
          <w:sz w:val="32"/>
          <w:szCs w:val="32"/>
        </w:rPr>
        <w:t>其他收入</w:t>
      </w:r>
      <w:bookmarkEnd w:id="14"/>
      <w:r>
        <w:rPr>
          <w:rFonts w:ascii="仿宋_GB2312" w:eastAsia="仿宋_GB2312" w:hint="eastAsia"/>
          <w:sz w:val="32"/>
          <w:szCs w:val="32"/>
        </w:rPr>
        <w:t>65.29</w:t>
      </w:r>
      <w:r>
        <w:rPr>
          <w:rFonts w:ascii="仿宋_GB2312" w:eastAsia="仿宋_GB2312" w:hint="eastAsia"/>
          <w:color w:val="000000" w:themeColor="text1"/>
          <w:sz w:val="32"/>
          <w:szCs w:val="32"/>
        </w:rPr>
        <w:t>万元，占</w:t>
      </w:r>
      <w:r>
        <w:rPr>
          <w:rFonts w:ascii="仿宋_GB2312" w:eastAsia="仿宋_GB2312" w:hint="eastAsia"/>
          <w:sz w:val="32"/>
          <w:szCs w:val="32"/>
        </w:rPr>
        <w:t>1.37%</w:t>
      </w:r>
      <w:r>
        <w:rPr>
          <w:rFonts w:ascii="仿宋_GB2312" w:eastAsia="仿宋_GB2312" w:hint="eastAsia"/>
          <w:color w:val="000000" w:themeColor="text1"/>
          <w:sz w:val="32"/>
          <w:szCs w:val="32"/>
        </w:rPr>
        <w:t>。</w:t>
      </w:r>
    </w:p>
    <w:p w:rsidR="005E3413" w:rsidRDefault="00402EB1">
      <w:pPr>
        <w:spacing w:line="540" w:lineRule="exact"/>
        <w:ind w:firstLineChars="200" w:firstLine="640"/>
        <w:rPr>
          <w:rFonts w:ascii="仿宋_GB2312" w:eastAsia="仿宋_GB2312"/>
          <w:sz w:val="32"/>
          <w:szCs w:val="32"/>
        </w:rPr>
      </w:pPr>
      <w:bookmarkStart w:id="15"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况：本年收入年初预算数3,478.51万元</w:t>
      </w:r>
      <w:r>
        <w:rPr>
          <w:rFonts w:ascii="仿宋_GB2312" w:eastAsia="仿宋_GB2312" w:hint="eastAsia"/>
          <w:sz w:val="32"/>
          <w:szCs w:val="32"/>
        </w:rPr>
        <w:t>，决算数4,782.57万元</w:t>
      </w:r>
      <w:r>
        <w:rPr>
          <w:rFonts w:ascii="仿宋_GB2312" w:eastAsia="仿宋_GB2312"/>
          <w:sz w:val="32"/>
          <w:szCs w:val="32"/>
        </w:rPr>
        <w:t>，预决算差异率37.49%，差异主要原因是:1、本年只发放1-3月补助，2、年初经费预算批复数是6个村，实际入住的为1个村，3、本年未发放精神文明奖、综合治理奖。</w:t>
      </w:r>
      <w:bookmarkEnd w:id="15"/>
    </w:p>
    <w:p w:rsidR="005E3413" w:rsidRDefault="00402EB1">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5E3413" w:rsidRDefault="00402EB1">
      <w:pPr>
        <w:spacing w:line="540" w:lineRule="exact"/>
        <w:ind w:firstLineChars="200" w:firstLine="640"/>
        <w:rPr>
          <w:rFonts w:ascii="仿宋_GB2312" w:eastAsia="仿宋_GB2312"/>
          <w:color w:val="000000" w:themeColor="text1"/>
          <w:spacing w:val="-6"/>
          <w:sz w:val="32"/>
          <w:szCs w:val="32"/>
        </w:rPr>
      </w:pPr>
      <w:bookmarkStart w:id="16" w:name="OLE_LINK7"/>
      <w:r>
        <w:rPr>
          <w:rFonts w:ascii="仿宋_GB2312" w:eastAsia="仿宋_GB2312" w:hint="eastAsia"/>
          <w:color w:val="000000" w:themeColor="text1"/>
          <w:sz w:val="32"/>
          <w:szCs w:val="32"/>
        </w:rPr>
        <w:t>本年支出合计</w:t>
      </w:r>
      <w:bookmarkEnd w:id="16"/>
      <w:r>
        <w:rPr>
          <w:rFonts w:ascii="仿宋_GB2312" w:eastAsia="仿宋_GB2312" w:hint="eastAsia"/>
          <w:sz w:val="32"/>
          <w:szCs w:val="32"/>
        </w:rPr>
        <w:t>4,870.6</w:t>
      </w:r>
      <w:r>
        <w:rPr>
          <w:rFonts w:ascii="仿宋_GB2312" w:eastAsia="仿宋_GB2312" w:hint="eastAsia"/>
          <w:color w:val="000000" w:themeColor="text1"/>
          <w:sz w:val="32"/>
          <w:szCs w:val="32"/>
        </w:rPr>
        <w:t>万元，其中：</w:t>
      </w:r>
      <w:bookmarkStart w:id="17" w:name="OLE_LINK8"/>
      <w:r>
        <w:rPr>
          <w:rFonts w:ascii="仿宋_GB2312" w:eastAsia="仿宋_GB2312" w:hint="eastAsia"/>
          <w:color w:val="000000" w:themeColor="text1"/>
          <w:sz w:val="32"/>
          <w:szCs w:val="32"/>
        </w:rPr>
        <w:t>基本支出</w:t>
      </w:r>
      <w:bookmarkEnd w:id="17"/>
      <w:r>
        <w:rPr>
          <w:rFonts w:ascii="仿宋_GB2312" w:eastAsia="仿宋_GB2312" w:hint="eastAsia"/>
          <w:sz w:val="32"/>
          <w:szCs w:val="32"/>
        </w:rPr>
        <w:t>2,381.34</w:t>
      </w:r>
      <w:r>
        <w:rPr>
          <w:rFonts w:ascii="仿宋_GB2312" w:eastAsia="仿宋_GB2312" w:hint="eastAsia"/>
          <w:color w:val="000000" w:themeColor="text1"/>
          <w:sz w:val="32"/>
          <w:szCs w:val="32"/>
        </w:rPr>
        <w:t>万元，占</w:t>
      </w:r>
      <w:r>
        <w:rPr>
          <w:rFonts w:ascii="仿宋_GB2312" w:eastAsia="仿宋_GB2312" w:hint="eastAsia"/>
          <w:sz w:val="32"/>
          <w:szCs w:val="32"/>
        </w:rPr>
        <w:t>48.89%</w:t>
      </w:r>
      <w:r>
        <w:rPr>
          <w:rFonts w:ascii="仿宋_GB2312" w:eastAsia="仿宋_GB2312" w:hint="eastAsia"/>
          <w:color w:val="000000" w:themeColor="text1"/>
          <w:sz w:val="32"/>
          <w:szCs w:val="32"/>
        </w:rPr>
        <w:t>；</w:t>
      </w:r>
      <w:bookmarkStart w:id="18" w:name="OLE_LINK9"/>
      <w:r>
        <w:rPr>
          <w:rFonts w:ascii="仿宋_GB2312" w:eastAsia="仿宋_GB2312" w:hint="eastAsia"/>
          <w:color w:val="000000" w:themeColor="text1"/>
          <w:sz w:val="32"/>
          <w:szCs w:val="32"/>
        </w:rPr>
        <w:t>项目支出</w:t>
      </w:r>
      <w:bookmarkEnd w:id="18"/>
      <w:r>
        <w:rPr>
          <w:rFonts w:ascii="仿宋_GB2312" w:eastAsia="仿宋_GB2312" w:hint="eastAsia"/>
          <w:sz w:val="32"/>
          <w:szCs w:val="32"/>
        </w:rPr>
        <w:t>2,489.26</w:t>
      </w:r>
      <w:r>
        <w:rPr>
          <w:rFonts w:ascii="仿宋_GB2312" w:eastAsia="仿宋_GB2312" w:hint="eastAsia"/>
          <w:color w:val="000000" w:themeColor="text1"/>
          <w:sz w:val="32"/>
          <w:szCs w:val="32"/>
        </w:rPr>
        <w:t>万元，占</w:t>
      </w:r>
      <w:r>
        <w:rPr>
          <w:rFonts w:ascii="仿宋_GB2312" w:eastAsia="仿宋_GB2312" w:hint="eastAsia"/>
          <w:sz w:val="32"/>
          <w:szCs w:val="32"/>
        </w:rPr>
        <w:t>51.11%</w:t>
      </w:r>
      <w:r>
        <w:rPr>
          <w:rFonts w:ascii="仿宋_GB2312" w:eastAsia="仿宋_GB2312" w:hint="eastAsia"/>
          <w:color w:val="000000" w:themeColor="text1"/>
          <w:sz w:val="32"/>
          <w:szCs w:val="32"/>
        </w:rPr>
        <w:t>；</w:t>
      </w:r>
      <w:bookmarkStart w:id="19" w:name="OLE_LINK10"/>
      <w:r>
        <w:rPr>
          <w:rFonts w:ascii="仿宋_GB2312" w:eastAsia="仿宋_GB2312" w:hint="eastAsia"/>
          <w:color w:val="000000" w:themeColor="text1"/>
          <w:sz w:val="32"/>
          <w:szCs w:val="32"/>
        </w:rPr>
        <w:t>上缴上级支出</w:t>
      </w:r>
      <w:bookmarkEnd w:id="1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0" w:name="OLE_LINK11"/>
      <w:r>
        <w:rPr>
          <w:rFonts w:ascii="仿宋_GB2312" w:eastAsia="仿宋_GB2312" w:hint="eastAsia"/>
          <w:color w:val="000000" w:themeColor="text1"/>
          <w:spacing w:val="-6"/>
          <w:sz w:val="32"/>
          <w:szCs w:val="32"/>
        </w:rPr>
        <w:t>经营支出</w:t>
      </w:r>
      <w:bookmarkEnd w:id="20"/>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1" w:name="OLE_LINK12"/>
      <w:r>
        <w:rPr>
          <w:rFonts w:ascii="仿宋_GB2312" w:eastAsia="仿宋_GB2312" w:hint="eastAsia"/>
          <w:color w:val="000000" w:themeColor="text1"/>
          <w:spacing w:val="-6"/>
          <w:sz w:val="32"/>
          <w:szCs w:val="32"/>
        </w:rPr>
        <w:t>对附属单位补助支出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5E3413" w:rsidRDefault="00402EB1">
      <w:pPr>
        <w:spacing w:line="540" w:lineRule="exact"/>
        <w:ind w:firstLineChars="200" w:firstLine="640"/>
        <w:rPr>
          <w:rFonts w:ascii="仿宋_GB2312" w:eastAsia="仿宋_GB2312"/>
          <w:sz w:val="32"/>
          <w:szCs w:val="32"/>
        </w:rPr>
      </w:pPr>
      <w:bookmarkStart w:id="22" w:name="OLE_LINK56"/>
      <w:r>
        <w:rPr>
          <w:rFonts w:ascii="仿宋_GB2312" w:eastAsia="仿宋_GB2312" w:hint="eastAsia"/>
          <w:color w:val="000000" w:themeColor="text1"/>
          <w:sz w:val="32"/>
          <w:szCs w:val="32"/>
        </w:rPr>
        <w:t>与年初预算数相比情况：本年支出年初预算数4,041.3万元，</w:t>
      </w:r>
      <w:r>
        <w:rPr>
          <w:rFonts w:ascii="仿宋_GB2312" w:eastAsia="仿宋_GB2312" w:hint="eastAsia"/>
          <w:sz w:val="32"/>
          <w:szCs w:val="32"/>
        </w:rPr>
        <w:t>决算数4,870.6万元</w:t>
      </w:r>
      <w:r>
        <w:rPr>
          <w:rFonts w:ascii="仿宋_GB2312" w:eastAsia="仿宋_GB2312"/>
          <w:sz w:val="32"/>
          <w:szCs w:val="32"/>
        </w:rPr>
        <w:t>，预决算差异率20.52%，差异主要原因是:</w:t>
      </w:r>
      <w:r>
        <w:rPr>
          <w:rFonts w:ascii="仿宋_GB2312" w:eastAsia="仿宋_GB2312" w:hint="eastAsia"/>
          <w:color w:val="000000" w:themeColor="text1"/>
          <w:sz w:val="32"/>
          <w:szCs w:val="32"/>
        </w:rPr>
        <w:t>一是补发2017年1月至2018年全年艰边贴增资；二是补发全年基本工资；三是本局从内地新招录10名大学生；四是财政拨付特殊教育等专项经费</w:t>
      </w:r>
      <w:r>
        <w:rPr>
          <w:rFonts w:ascii="仿宋_GB2312" w:eastAsia="仿宋_GB2312"/>
          <w:sz w:val="32"/>
          <w:szCs w:val="32"/>
        </w:rPr>
        <w:t>。</w:t>
      </w:r>
    </w:p>
    <w:bookmarkEnd w:id="22"/>
    <w:p w:rsidR="005E3413" w:rsidRDefault="00402EB1">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5E3413" w:rsidRDefault="00402EB1">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5E3413" w:rsidRDefault="00402EB1">
      <w:pPr>
        <w:spacing w:line="540" w:lineRule="exact"/>
        <w:ind w:firstLineChars="200" w:firstLine="640"/>
        <w:rPr>
          <w:rFonts w:ascii="仿宋_GB2312" w:eastAsia="仿宋_GB2312"/>
          <w:color w:val="000000" w:themeColor="text1"/>
          <w:sz w:val="32"/>
          <w:szCs w:val="32"/>
        </w:rPr>
      </w:pPr>
      <w:bookmarkStart w:id="23" w:name="OLE_LINK57"/>
      <w:bookmarkStart w:id="24" w:name="OLE_LINK58"/>
      <w:r>
        <w:rPr>
          <w:rFonts w:ascii="仿宋_GB2312" w:eastAsia="仿宋_GB2312" w:hint="eastAsia"/>
          <w:color w:val="000000" w:themeColor="text1"/>
          <w:sz w:val="32"/>
          <w:szCs w:val="32"/>
        </w:rPr>
        <w:t>2018年度</w:t>
      </w:r>
      <w:bookmarkStart w:id="25" w:name="OLE_LINK13"/>
      <w:r>
        <w:rPr>
          <w:rFonts w:ascii="仿宋_GB2312" w:eastAsia="仿宋_GB2312" w:hint="eastAsia"/>
          <w:color w:val="000000" w:themeColor="text1"/>
          <w:sz w:val="32"/>
          <w:szCs w:val="32"/>
        </w:rPr>
        <w:t>财政拨款收入</w:t>
      </w:r>
      <w:bookmarkEnd w:id="25"/>
      <w:r>
        <w:rPr>
          <w:rFonts w:ascii="仿宋_GB2312" w:eastAsia="仿宋_GB2312" w:hint="eastAsia"/>
          <w:sz w:val="32"/>
          <w:szCs w:val="32"/>
        </w:rPr>
        <w:t>3,786.25</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，与上年相比，增加740.33万元，增长24.31%，增加的主要原因是：1、补发基本工资、2017年全年艰苦边远津贴。2、2018年新录用10名大学生。</w:t>
      </w:r>
      <w:bookmarkStart w:id="26" w:name="OLE_LINK14"/>
      <w:bookmarkStart w:id="27" w:name="OLE_LINK59"/>
      <w:bookmarkStart w:id="28" w:name="OLE_LINK60"/>
      <w:bookmarkEnd w:id="23"/>
      <w:bookmarkEnd w:id="24"/>
      <w:r>
        <w:rPr>
          <w:rFonts w:ascii="仿宋_GB2312" w:eastAsia="仿宋_GB2312" w:hint="eastAsia"/>
          <w:color w:val="000000" w:themeColor="text1"/>
          <w:sz w:val="32"/>
          <w:szCs w:val="32"/>
        </w:rPr>
        <w:t>财政拨款支出</w:t>
      </w:r>
      <w:bookmarkEnd w:id="26"/>
      <w:r>
        <w:rPr>
          <w:rFonts w:ascii="仿宋_GB2312" w:eastAsia="仿宋_GB2312" w:hint="eastAsia"/>
          <w:sz w:val="32"/>
          <w:szCs w:val="32"/>
        </w:rPr>
        <w:t>3,834.88</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，与上年相比，增加723.14万元，增长23.24%，</w:t>
      </w:r>
      <w:r>
        <w:rPr>
          <w:rFonts w:ascii="仿宋_GB2312" w:eastAsia="仿宋_GB2312" w:hint="eastAsia"/>
          <w:sz w:val="32"/>
          <w:szCs w:val="32"/>
        </w:rPr>
        <w:lastRenderedPageBreak/>
        <w:t>增加的主要原因是：</w:t>
      </w:r>
      <w:r>
        <w:rPr>
          <w:rFonts w:ascii="仿宋_GB2312" w:eastAsia="仿宋_GB2312"/>
          <w:sz w:val="32"/>
          <w:szCs w:val="32"/>
        </w:rPr>
        <w:t>1、补发2017年1月至2018年全年艰边贴增资、补发全年基本工资；2、本局从内地新录用10名大学生，3、财政拨2018年新疆西藏等地区特殊教育专项经费、优秀干部奖励金及表彰工作经费、教育质量检测经费、返还各县市各级各类考务费、经费等。</w:t>
      </w:r>
      <w:bookmarkStart w:id="29" w:name="OLE_LINK61"/>
      <w:bookmarkEnd w:id="27"/>
      <w:bookmarkEnd w:id="28"/>
      <w:r>
        <w:rPr>
          <w:rFonts w:ascii="仿宋_GB2312" w:eastAsia="仿宋_GB2312" w:hint="eastAsia"/>
          <w:color w:val="000000" w:themeColor="text1"/>
          <w:sz w:val="32"/>
          <w:szCs w:val="32"/>
        </w:rPr>
        <w:t>其中：</w:t>
      </w:r>
      <w:bookmarkStart w:id="30" w:name="OLE_LINK15"/>
      <w:r>
        <w:rPr>
          <w:rFonts w:ascii="仿宋_GB2312" w:eastAsia="仿宋_GB2312" w:hint="eastAsia"/>
          <w:color w:val="000000" w:themeColor="text1"/>
          <w:sz w:val="32"/>
          <w:szCs w:val="32"/>
        </w:rPr>
        <w:t>基本支出</w:t>
      </w:r>
      <w:bookmarkEnd w:id="30"/>
      <w:r>
        <w:rPr>
          <w:rFonts w:ascii="仿宋_GB2312" w:eastAsia="仿宋_GB2312" w:hint="eastAsia"/>
          <w:sz w:val="32"/>
          <w:szCs w:val="32"/>
        </w:rPr>
        <w:t>2,291.31</w:t>
      </w:r>
      <w:r>
        <w:rPr>
          <w:rFonts w:ascii="仿宋_GB2312" w:eastAsia="仿宋_GB2312" w:hint="eastAsia"/>
          <w:color w:val="000000" w:themeColor="text1"/>
          <w:sz w:val="32"/>
          <w:szCs w:val="32"/>
        </w:rPr>
        <w:t>万元，项目支出</w:t>
      </w:r>
      <w:r>
        <w:rPr>
          <w:rFonts w:ascii="仿宋_GB2312" w:eastAsia="仿宋_GB2312" w:hint="eastAsia"/>
          <w:sz w:val="32"/>
          <w:szCs w:val="32"/>
        </w:rPr>
        <w:t>1,543.57</w:t>
      </w:r>
      <w:r>
        <w:rPr>
          <w:rFonts w:ascii="仿宋_GB2312" w:eastAsia="仿宋_GB2312" w:hint="eastAsia"/>
          <w:color w:val="000000" w:themeColor="text1"/>
          <w:sz w:val="32"/>
          <w:szCs w:val="32"/>
        </w:rPr>
        <w:t>万元。</w:t>
      </w:r>
      <w:bookmarkStart w:id="31" w:name="OLE_LINK16"/>
      <w:r>
        <w:rPr>
          <w:rFonts w:ascii="仿宋_GB2312" w:eastAsia="仿宋_GB2312" w:hint="eastAsia"/>
          <w:color w:val="000000" w:themeColor="text1"/>
          <w:sz w:val="32"/>
          <w:szCs w:val="32"/>
        </w:rPr>
        <w:t>财政拨款结转结余</w:t>
      </w:r>
      <w:bookmarkEnd w:id="31"/>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，与上年相比，减少48.63万元，下降100%，减少的主要原因是：本年收支平衡无结余结转。</w:t>
      </w:r>
      <w:bookmarkEnd w:id="29"/>
    </w:p>
    <w:p w:rsidR="005E3413" w:rsidRDefault="00402EB1">
      <w:pPr>
        <w:spacing w:line="540" w:lineRule="exact"/>
        <w:ind w:firstLineChars="200" w:firstLine="640"/>
        <w:rPr>
          <w:rFonts w:ascii="仿宋_GB2312" w:eastAsia="仿宋_GB2312"/>
          <w:color w:val="000000" w:themeColor="text1"/>
          <w:sz w:val="32"/>
          <w:szCs w:val="32"/>
        </w:rPr>
      </w:pPr>
      <w:bookmarkStart w:id="32"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2,700</w:t>
      </w:r>
      <w:r>
        <w:rPr>
          <w:rFonts w:ascii="仿宋_GB2312" w:eastAsia="仿宋_GB2312" w:hint="eastAsia"/>
          <w:color w:val="000000" w:themeColor="text1"/>
          <w:sz w:val="32"/>
          <w:szCs w:val="32"/>
        </w:rPr>
        <w:t>万元，决算数</w:t>
      </w:r>
      <w:r>
        <w:rPr>
          <w:rFonts w:ascii="仿宋_GB2312" w:eastAsia="仿宋_GB2312" w:hint="eastAsia"/>
          <w:sz w:val="32"/>
          <w:szCs w:val="32"/>
        </w:rPr>
        <w:t>3,786.25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，预决算差异率40.23%，差异主要原因是:1、补发2017年1月至2018年全年艰边贴增资；2、补发全年基本工资；3、本局从内地新录用10名大学生，4、财政拨专项资金。</w:t>
      </w:r>
      <w:bookmarkStart w:id="33" w:name="OLE_LINK63"/>
      <w:bookmarkEnd w:id="32"/>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2,748.63</w:t>
      </w:r>
      <w:r>
        <w:rPr>
          <w:rFonts w:ascii="仿宋_GB2312" w:eastAsia="仿宋_GB2312" w:hint="eastAsia"/>
          <w:color w:val="000000" w:themeColor="text1"/>
          <w:sz w:val="32"/>
          <w:szCs w:val="32"/>
        </w:rPr>
        <w:t>万元，决算数</w:t>
      </w:r>
      <w:r>
        <w:rPr>
          <w:rFonts w:ascii="仿宋_GB2312" w:eastAsia="仿宋_GB2312" w:hint="eastAsia"/>
          <w:sz w:val="32"/>
          <w:szCs w:val="32"/>
        </w:rPr>
        <w:t>3,834.88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，预决算差异率39.52%，差异主要原因是:1、补发2017年1月至2018年全年艰边贴增资；2、补发全年基本工资；3、本局从内地新录用10名大学生，4、财政拨专项资金。</w:t>
      </w:r>
      <w:bookmarkEnd w:id="33"/>
    </w:p>
    <w:p w:rsidR="005E3413" w:rsidRDefault="00402EB1">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5E3413" w:rsidRDefault="00402EB1">
      <w:pPr>
        <w:spacing w:line="540" w:lineRule="exact"/>
        <w:ind w:firstLineChars="200" w:firstLine="640"/>
        <w:rPr>
          <w:rFonts w:ascii="仿宋_GB2312" w:eastAsia="仿宋_GB2312"/>
          <w:color w:val="000000" w:themeColor="text1"/>
          <w:sz w:val="32"/>
          <w:szCs w:val="32"/>
        </w:rPr>
      </w:pPr>
      <w:bookmarkStart w:id="34" w:name="OLE_LINK64"/>
      <w:r>
        <w:rPr>
          <w:rFonts w:ascii="仿宋_GB2312" w:eastAsia="仿宋_GB2312" w:hint="eastAsia"/>
          <w:color w:val="000000" w:themeColor="text1"/>
          <w:sz w:val="32"/>
          <w:szCs w:val="32"/>
        </w:rPr>
        <w:t>2018年度</w:t>
      </w:r>
      <w:bookmarkStart w:id="35" w:name="OLE_LINK17"/>
      <w:r>
        <w:rPr>
          <w:rFonts w:ascii="仿宋_GB2312" w:eastAsia="仿宋_GB2312" w:hint="eastAsia"/>
          <w:color w:val="000000" w:themeColor="text1"/>
          <w:sz w:val="32"/>
          <w:szCs w:val="32"/>
        </w:rPr>
        <w:t>一般公共预算财政拨款收入</w:t>
      </w:r>
      <w:bookmarkEnd w:id="35"/>
      <w:r>
        <w:rPr>
          <w:rFonts w:ascii="仿宋_GB2312" w:eastAsia="仿宋_GB2312"/>
          <w:color w:val="000000" w:themeColor="text1"/>
          <w:sz w:val="32"/>
          <w:szCs w:val="32"/>
        </w:rPr>
        <w:t>3,786.25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，与上年相比，增加740.33万元，增长24.31%，增加的主要原因是：财政拨2018年新疆西藏等地区特殊教育专项经费、优秀干部奖励金及表彰工作经费、教育质量检测经费等经费。</w:t>
      </w:r>
      <w:bookmarkStart w:id="36" w:name="OLE_LINK18"/>
      <w:bookmarkStart w:id="37" w:name="OLE_LINK65"/>
      <w:bookmarkEnd w:id="34"/>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3,834.88</w:t>
      </w:r>
      <w:r>
        <w:rPr>
          <w:rFonts w:ascii="仿宋_GB2312" w:eastAsia="仿宋_GB2312" w:hint="eastAsia"/>
          <w:color w:val="000000" w:themeColor="text1"/>
          <w:sz w:val="32"/>
          <w:szCs w:val="32"/>
        </w:rPr>
        <w:t>万元</w:t>
      </w:r>
      <w:bookmarkEnd w:id="36"/>
      <w:r>
        <w:rPr>
          <w:rFonts w:ascii="仿宋_GB2312" w:eastAsia="仿宋_GB2312" w:hint="eastAsia"/>
          <w:sz w:val="32"/>
          <w:szCs w:val="32"/>
        </w:rPr>
        <w:t>，与上年相比，增加723.14万元，增长23.24%，增加的主要原因是：1、补发2017年1月至2018年全年艰边贴增资、补发全年基本工资；2、本局从内地新录用10名大学生，3、2018</w:t>
      </w:r>
      <w:r>
        <w:rPr>
          <w:rFonts w:ascii="仿宋_GB2312" w:eastAsia="仿宋_GB2312" w:hint="eastAsia"/>
          <w:sz w:val="32"/>
          <w:szCs w:val="32"/>
        </w:rPr>
        <w:lastRenderedPageBreak/>
        <w:t>年新疆西藏等地区特殊教育支出、优秀干部奖励金及表彰工作支出、教育质量检测支出、返还各县市各级各类考务费支出、经费支出等。</w:t>
      </w:r>
      <w:bookmarkEnd w:id="37"/>
      <w:r>
        <w:rPr>
          <w:rFonts w:ascii="仿宋_GB2312" w:eastAsia="仿宋_GB2312" w:hint="eastAsia"/>
          <w:color w:val="000000" w:themeColor="text1"/>
          <w:sz w:val="32"/>
          <w:szCs w:val="32"/>
        </w:rPr>
        <w:t>其中：</w:t>
      </w:r>
      <w:bookmarkStart w:id="38" w:name="OLE_LINK19"/>
      <w:r>
        <w:rPr>
          <w:rFonts w:ascii="仿宋_GB2312" w:eastAsia="仿宋_GB2312" w:hint="eastAsia"/>
          <w:color w:val="000000" w:themeColor="text1"/>
          <w:sz w:val="32"/>
          <w:szCs w:val="32"/>
        </w:rPr>
        <w:t>按功能分类科目（按类级科目公开）</w:t>
      </w:r>
      <w:bookmarkEnd w:id="38"/>
      <w:r>
        <w:rPr>
          <w:rFonts w:ascii="仿宋_GB2312" w:eastAsia="仿宋_GB2312" w:hint="eastAsia"/>
          <w:color w:val="000000" w:themeColor="text1"/>
          <w:sz w:val="32"/>
          <w:szCs w:val="32"/>
        </w:rPr>
        <w:t>，</w:t>
      </w:r>
      <w:r>
        <w:rPr>
          <w:rFonts w:ascii="仿宋_GB2312" w:eastAsia="仿宋_GB2312" w:hint="eastAsia"/>
          <w:sz w:val="32"/>
          <w:szCs w:val="32"/>
        </w:rPr>
        <w:t>教育支出3,555.65万元,其他支出99.14万元,社会保障和就业支出180.09万元。</w:t>
      </w:r>
      <w:bookmarkStart w:id="39" w:name="OLE_LINK20"/>
      <w:bookmarkStart w:id="40" w:name="OLE_LINK21"/>
      <w:r>
        <w:rPr>
          <w:rFonts w:ascii="仿宋_GB2312" w:eastAsia="仿宋_GB2312" w:hint="eastAsia"/>
          <w:color w:val="000000" w:themeColor="text1"/>
          <w:sz w:val="32"/>
          <w:szCs w:val="32"/>
        </w:rPr>
        <w:t>按经济分类科目</w:t>
      </w:r>
      <w:bookmarkEnd w:id="39"/>
      <w:r>
        <w:rPr>
          <w:rFonts w:ascii="仿宋_GB2312" w:eastAsia="仿宋_GB2312" w:hint="eastAsia"/>
          <w:color w:val="000000" w:themeColor="text1"/>
          <w:sz w:val="32"/>
          <w:szCs w:val="32"/>
        </w:rPr>
        <w:t>（按类级科目公开）</w:t>
      </w:r>
      <w:bookmarkEnd w:id="40"/>
      <w:r>
        <w:rPr>
          <w:rFonts w:ascii="仿宋_GB2312" w:eastAsia="仿宋_GB2312" w:hint="eastAsia"/>
          <w:color w:val="000000" w:themeColor="text1"/>
          <w:sz w:val="32"/>
          <w:szCs w:val="32"/>
        </w:rPr>
        <w:t>，</w:t>
      </w:r>
      <w:r>
        <w:rPr>
          <w:rFonts w:ascii="仿宋_GB2312" w:eastAsia="仿宋_GB2312" w:hint="eastAsia"/>
          <w:sz w:val="32"/>
          <w:szCs w:val="32"/>
        </w:rPr>
        <w:t>工资福利支出2,384.52万元,商品和服务支出1,013.25万元,对个人和家庭的补助332.39万元,资本性支出104.73万元。</w:t>
      </w:r>
    </w:p>
    <w:p w:rsidR="005E3413" w:rsidRDefault="00402EB1">
      <w:pPr>
        <w:spacing w:line="540" w:lineRule="exact"/>
        <w:ind w:firstLineChars="200" w:firstLine="640"/>
        <w:rPr>
          <w:rFonts w:ascii="仿宋_GB2312" w:eastAsia="仿宋_GB2312"/>
          <w:color w:val="000000" w:themeColor="text1"/>
          <w:sz w:val="32"/>
          <w:szCs w:val="32"/>
        </w:rPr>
      </w:pPr>
      <w:bookmarkStart w:id="41" w:name="OLE_LINK67"/>
      <w:bookmarkStart w:id="42"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2,700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3,786.25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40.23%，差异主要原因是:1、财政拨2017年1月至2018年全年艰边贴增资、补发全年基本工资；2、本局从内地新录用10名大学生，3、财政拨2018年新疆西藏等地区特殊教育专项经费、优秀干部奖励金及表彰工作经费、教育质量检测经费、返还各县市各级各类考务费、经费等。</w:t>
      </w:r>
      <w:bookmarkStart w:id="43" w:name="OLE_LINK68"/>
      <w:bookmarkEnd w:id="41"/>
      <w:bookmarkEnd w:id="42"/>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2,748.63</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3,834.88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39.52%，差异主要原因是:1、补发2017年1月至2018年全年艰边贴增资、补发全年基本工资；2、本局从内地新录用录用10名大学生，3、财政拨2018年新疆西藏等地区特殊教育专项经费、优秀干部奖励金及表彰工作经费、教育质量检测经费、返还各县市各级各类考务费、经费等。</w:t>
      </w:r>
      <w:bookmarkEnd w:id="43"/>
    </w:p>
    <w:p w:rsidR="005E3413" w:rsidRDefault="00402EB1">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5E3413" w:rsidRDefault="00402EB1">
      <w:pPr>
        <w:spacing w:line="540" w:lineRule="exact"/>
        <w:ind w:firstLineChars="200" w:firstLine="640"/>
        <w:rPr>
          <w:rFonts w:ascii="仿宋_GB2312" w:eastAsia="仿宋_GB2312"/>
          <w:color w:val="000000" w:themeColor="text1"/>
          <w:sz w:val="32"/>
          <w:szCs w:val="32"/>
        </w:rPr>
      </w:pPr>
      <w:bookmarkStart w:id="44" w:name="OLE_LINK69"/>
      <w:r>
        <w:rPr>
          <w:rFonts w:ascii="仿宋_GB2312" w:eastAsia="仿宋_GB2312" w:hint="eastAsia"/>
          <w:color w:val="000000" w:themeColor="text1"/>
          <w:sz w:val="32"/>
          <w:szCs w:val="32"/>
        </w:rPr>
        <w:t>2018年度</w:t>
      </w:r>
      <w:bookmarkStart w:id="45" w:name="OLE_LINK22"/>
      <w:r>
        <w:rPr>
          <w:rFonts w:ascii="仿宋_GB2312" w:eastAsia="仿宋_GB2312" w:hint="eastAsia"/>
          <w:color w:val="000000" w:themeColor="text1"/>
          <w:sz w:val="32"/>
          <w:szCs w:val="32"/>
        </w:rPr>
        <w:t>政府性基金预算财政拨款收入</w:t>
      </w:r>
      <w:bookmarkEnd w:id="45"/>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，与上年相比，增加0万元，增长0%，主要原因是：无政府性基金预算财政拨款收入。</w:t>
      </w:r>
      <w:bookmarkStart w:id="46" w:name="OLE_LINK23"/>
      <w:bookmarkStart w:id="47" w:name="OLE_LINK70"/>
      <w:bookmarkEnd w:id="44"/>
      <w:r>
        <w:rPr>
          <w:rFonts w:ascii="仿宋_GB2312" w:eastAsia="仿宋_GB2312" w:hint="eastAsia"/>
          <w:color w:val="000000" w:themeColor="text1"/>
          <w:sz w:val="32"/>
          <w:szCs w:val="32"/>
        </w:rPr>
        <w:t>政府性基金预算支出</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w:t>
      </w:r>
      <w:r>
        <w:rPr>
          <w:rFonts w:ascii="仿宋_GB2312" w:eastAsia="仿宋_GB2312" w:hint="eastAsia"/>
          <w:sz w:val="32"/>
          <w:szCs w:val="32"/>
        </w:rPr>
        <w:lastRenderedPageBreak/>
        <w:t>0%，主要原因是：无政府性基金预算财政拨款支出。</w:t>
      </w:r>
      <w:bookmarkEnd w:id="47"/>
      <w:r>
        <w:rPr>
          <w:rFonts w:ascii="仿宋_GB2312" w:eastAsia="仿宋_GB2312" w:hint="eastAsia"/>
          <w:color w:val="000000" w:themeColor="text1"/>
          <w:sz w:val="32"/>
          <w:szCs w:val="32"/>
        </w:rPr>
        <w:t>其中：</w:t>
      </w:r>
      <w:bookmarkStart w:id="48" w:name="OLE_LINK24"/>
      <w:r>
        <w:rPr>
          <w:rFonts w:ascii="仿宋_GB2312" w:eastAsia="仿宋_GB2312" w:hint="eastAsia"/>
          <w:color w:val="000000" w:themeColor="text1"/>
          <w:sz w:val="32"/>
          <w:szCs w:val="32"/>
        </w:rPr>
        <w:t>按功能分类科目（按类级科目公开）</w:t>
      </w:r>
      <w:bookmarkEnd w:id="48"/>
      <w:r>
        <w:rPr>
          <w:rFonts w:ascii="仿宋_GB2312" w:eastAsia="仿宋_GB2312" w:hint="eastAsia"/>
          <w:color w:val="000000" w:themeColor="text1"/>
          <w:sz w:val="32"/>
          <w:szCs w:val="32"/>
        </w:rPr>
        <w:t>，无。按经济分类科目（按类级科目公开），无。</w:t>
      </w:r>
    </w:p>
    <w:p w:rsidR="005E3413" w:rsidRDefault="00402EB1">
      <w:pPr>
        <w:spacing w:line="540" w:lineRule="exact"/>
        <w:ind w:firstLineChars="200" w:firstLine="640"/>
        <w:rPr>
          <w:rFonts w:ascii="仿宋_GB2312" w:eastAsia="仿宋_GB2312"/>
          <w:color w:val="000000" w:themeColor="text1"/>
          <w:sz w:val="32"/>
          <w:szCs w:val="32"/>
        </w:rPr>
      </w:pPr>
      <w:bookmarkStart w:id="49" w:name="OLE_LINK72"/>
      <w:bookmarkStart w:id="50" w:name="OLE_LINK71"/>
      <w:r>
        <w:rPr>
          <w:rFonts w:ascii="仿宋_GB2312" w:eastAsia="仿宋_GB2312" w:hint="eastAsia"/>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，预决算差异率0%，差异主要原因是:无政府性基金预算财政拨款收入。</w:t>
      </w:r>
      <w:bookmarkStart w:id="51" w:name="OLE_LINK73"/>
      <w:bookmarkEnd w:id="49"/>
      <w:bookmarkEnd w:id="50"/>
      <w:r>
        <w:rPr>
          <w:rFonts w:ascii="仿宋_GB2312" w:eastAsia="仿宋_GB2312" w:hint="eastAsia"/>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，预决算差异率0%，差异主要原因是:无政府性基金预算财政拨款支出。</w:t>
      </w:r>
      <w:bookmarkEnd w:id="51"/>
    </w:p>
    <w:p w:rsidR="005E3413" w:rsidRDefault="00402EB1">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5E3413" w:rsidRDefault="00402EB1">
      <w:pPr>
        <w:spacing w:line="540" w:lineRule="exact"/>
        <w:ind w:firstLineChars="200" w:firstLine="640"/>
        <w:rPr>
          <w:rFonts w:ascii="仿宋_GB2312" w:eastAsia="仿宋_GB2312"/>
          <w:color w:val="000000" w:themeColor="text1"/>
          <w:sz w:val="32"/>
          <w:szCs w:val="32"/>
        </w:rPr>
      </w:pPr>
      <w:bookmarkStart w:id="52" w:name="OLE_LINK25"/>
      <w:bookmarkStart w:id="53" w:name="OLE_LINK26"/>
      <w:r>
        <w:rPr>
          <w:rFonts w:ascii="仿宋_GB2312" w:eastAsia="仿宋_GB2312" w:hint="eastAsia"/>
          <w:color w:val="000000" w:themeColor="text1"/>
          <w:sz w:val="32"/>
          <w:szCs w:val="32"/>
        </w:rPr>
        <w:t>年末结转结余</w:t>
      </w:r>
      <w:bookmarkEnd w:id="52"/>
      <w:bookmarkEnd w:id="53"/>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。与上年相比，减少88.03万元，下降100%</w:t>
      </w:r>
      <w:r>
        <w:rPr>
          <w:rFonts w:ascii="仿宋_GB2312" w:eastAsia="仿宋_GB2312" w:hint="eastAsia"/>
          <w:color w:val="000000" w:themeColor="text1"/>
          <w:sz w:val="32"/>
          <w:szCs w:val="32"/>
        </w:rPr>
        <w:t>。</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4" w:name="OLE_LINK28"/>
      <w:bookmarkStart w:id="55" w:name="OLE_LINK27"/>
      <w:r>
        <w:rPr>
          <w:rFonts w:ascii="仿宋_GB2312" w:eastAsia="仿宋_GB2312" w:hint="eastAsia"/>
          <w:color w:val="000000" w:themeColor="text1"/>
          <w:sz w:val="32"/>
          <w:szCs w:val="32"/>
        </w:rPr>
        <w:t>财政拨款结转结余</w:t>
      </w:r>
      <w:bookmarkEnd w:id="54"/>
      <w:bookmarkEnd w:id="55"/>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。与上年相比，减少48.63万元，下降100%。</w:t>
      </w:r>
    </w:p>
    <w:p w:rsidR="005E3413" w:rsidRDefault="00402EB1">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5E3413" w:rsidRDefault="00402EB1">
      <w:pPr>
        <w:spacing w:line="540" w:lineRule="exact"/>
        <w:ind w:firstLineChars="200" w:firstLine="640"/>
        <w:rPr>
          <w:rFonts w:ascii="仿宋_GB2312" w:eastAsia="仿宋_GB2312"/>
          <w:color w:val="000000" w:themeColor="text1"/>
          <w:sz w:val="32"/>
          <w:szCs w:val="32"/>
        </w:rPr>
      </w:pPr>
      <w:bookmarkStart w:id="56" w:name="OLE_LINK74"/>
      <w:r>
        <w:rPr>
          <w:rFonts w:ascii="仿宋_GB2312" w:eastAsia="仿宋_GB2312" w:hint="eastAsia"/>
          <w:color w:val="000000" w:themeColor="text1"/>
          <w:sz w:val="32"/>
          <w:szCs w:val="32"/>
        </w:rPr>
        <w:t>2018年度</w:t>
      </w:r>
      <w:bookmarkStart w:id="57" w:name="OLE_LINK29"/>
      <w:r>
        <w:rPr>
          <w:rFonts w:ascii="仿宋_GB2312" w:eastAsia="仿宋_GB2312" w:hint="eastAsia"/>
          <w:color w:val="000000" w:themeColor="text1"/>
          <w:sz w:val="32"/>
          <w:szCs w:val="32"/>
        </w:rPr>
        <w:t>一般公共预算“三公”经费支出决算</w:t>
      </w:r>
      <w:bookmarkEnd w:id="5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，与上年相比，增加0万元，增长0%，主要原因是：无变化。</w:t>
      </w:r>
      <w:bookmarkStart w:id="58" w:name="OLE_LINK75"/>
      <w:bookmarkEnd w:id="56"/>
      <w:r>
        <w:rPr>
          <w:rFonts w:ascii="仿宋_GB2312" w:eastAsia="仿宋_GB2312" w:hint="eastAsia"/>
          <w:color w:val="000000" w:themeColor="text1"/>
          <w:sz w:val="32"/>
          <w:szCs w:val="32"/>
        </w:rPr>
        <w:t>其中，</w:t>
      </w:r>
      <w:bookmarkStart w:id="59" w:name="OLE_LINK30"/>
      <w:r>
        <w:rPr>
          <w:rFonts w:ascii="仿宋_GB2312" w:eastAsia="仿宋_GB2312" w:hint="eastAsia"/>
          <w:color w:val="000000" w:themeColor="text1"/>
          <w:sz w:val="32"/>
          <w:szCs w:val="32"/>
        </w:rPr>
        <w:t>因公出国（境）费支出</w:t>
      </w:r>
      <w:bookmarkEnd w:id="5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0%，与上年相比，增加0万元，增长0%，主要原因是：无变化；</w:t>
      </w:r>
      <w:bookmarkStart w:id="60" w:name="OLE_LINK31"/>
      <w:bookmarkStart w:id="61" w:name="OLE_LINK76"/>
      <w:bookmarkEnd w:id="58"/>
      <w:r>
        <w:rPr>
          <w:rFonts w:ascii="仿宋_GB2312" w:eastAsia="仿宋_GB2312" w:hint="eastAsia"/>
          <w:color w:val="000000" w:themeColor="text1"/>
          <w:sz w:val="32"/>
          <w:szCs w:val="32"/>
        </w:rPr>
        <w:t>公务用车购置及运行维护费支出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0%，与上年相比，增加0万元，增长0%，主要原因是：无变化；</w:t>
      </w:r>
      <w:bookmarkStart w:id="62" w:name="OLE_LINK32"/>
      <w:bookmarkStart w:id="63" w:name="OLE_LINK78"/>
      <w:bookmarkStart w:id="64" w:name="OLE_LINK77"/>
      <w:bookmarkEnd w:id="61"/>
      <w:r>
        <w:rPr>
          <w:rFonts w:ascii="仿宋_GB2312" w:eastAsia="仿宋_GB2312" w:hint="eastAsia"/>
          <w:color w:val="000000" w:themeColor="text1"/>
          <w:sz w:val="32"/>
          <w:szCs w:val="32"/>
        </w:rPr>
        <w:t>公务接待费支出</w:t>
      </w:r>
      <w:bookmarkEnd w:id="6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0%，与上年相比，增加0万元，增长0%，主要原因是：无变化。</w:t>
      </w:r>
      <w:bookmarkEnd w:id="63"/>
      <w:bookmarkEnd w:id="64"/>
      <w:r>
        <w:rPr>
          <w:rFonts w:ascii="仿宋_GB2312" w:eastAsia="仿宋_GB2312" w:hint="eastAsia"/>
          <w:color w:val="000000" w:themeColor="text1"/>
          <w:sz w:val="32"/>
          <w:szCs w:val="32"/>
        </w:rPr>
        <w:t>具体情况如下：</w:t>
      </w:r>
    </w:p>
    <w:p w:rsidR="005E3413" w:rsidRDefault="00402EB1">
      <w:pPr>
        <w:spacing w:line="540" w:lineRule="exact"/>
        <w:ind w:firstLineChars="200" w:firstLine="640"/>
        <w:rPr>
          <w:rFonts w:ascii="仿宋_GB2312" w:eastAsia="仿宋_GB2312"/>
          <w:color w:val="000000" w:themeColor="text1"/>
          <w:sz w:val="32"/>
          <w:szCs w:val="32"/>
        </w:rPr>
      </w:pPr>
      <w:bookmarkStart w:id="65" w:name="OLE_LINK80"/>
      <w:bookmarkStart w:id="66" w:name="OLE_LINK79"/>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新疆喀什地区教育局汇总</w:t>
      </w:r>
      <w:r>
        <w:rPr>
          <w:rFonts w:ascii="仿宋_GB2312" w:eastAsia="仿宋_GB2312" w:hint="eastAsia"/>
          <w:color w:val="000000" w:themeColor="text1"/>
          <w:sz w:val="32"/>
          <w:szCs w:val="32"/>
        </w:rPr>
        <w:t>单位</w:t>
      </w:r>
      <w:bookmarkStart w:id="67" w:name="OLE_LINK33"/>
      <w:r>
        <w:rPr>
          <w:rFonts w:ascii="仿宋_GB2312" w:eastAsia="仿宋_GB2312" w:hint="eastAsia"/>
          <w:color w:val="000000" w:themeColor="text1"/>
          <w:sz w:val="32"/>
          <w:szCs w:val="32"/>
        </w:rPr>
        <w:t>全年</w:t>
      </w:r>
      <w:bookmarkStart w:id="68" w:name="OLE_LINK35"/>
      <w:bookmarkStart w:id="69" w:name="OLE_LINK34"/>
      <w:bookmarkStart w:id="70" w:name="OLE_LINK36"/>
      <w:r>
        <w:rPr>
          <w:rFonts w:ascii="仿宋_GB2312" w:eastAsia="仿宋_GB2312" w:hint="eastAsia"/>
          <w:color w:val="000000" w:themeColor="text1"/>
          <w:sz w:val="32"/>
          <w:szCs w:val="32"/>
        </w:rPr>
        <w:t>使用一般公共预算财政拨款安排的出国（境）团组</w:t>
      </w:r>
      <w:bookmarkEnd w:id="67"/>
      <w:bookmarkEnd w:id="68"/>
      <w:bookmarkEnd w:id="69"/>
      <w:r>
        <w:rPr>
          <w:rFonts w:ascii="仿宋_GB2312" w:eastAsia="仿宋_GB2312" w:hint="eastAsia"/>
          <w:sz w:val="32"/>
          <w:szCs w:val="32"/>
        </w:rPr>
        <w:t>0</w:t>
      </w:r>
      <w:r>
        <w:rPr>
          <w:rFonts w:ascii="仿宋_GB2312" w:eastAsia="仿宋_GB2312" w:hint="eastAsia"/>
          <w:color w:val="000000" w:themeColor="text1"/>
          <w:sz w:val="32"/>
          <w:szCs w:val="32"/>
        </w:rPr>
        <w:t>个</w:t>
      </w:r>
      <w:bookmarkEnd w:id="70"/>
      <w:r>
        <w:rPr>
          <w:rFonts w:ascii="仿宋_GB2312" w:eastAsia="仿宋_GB2312" w:hint="eastAsia"/>
          <w:color w:val="000000" w:themeColor="text1"/>
          <w:sz w:val="32"/>
          <w:szCs w:val="32"/>
        </w:rPr>
        <w:t>，</w:t>
      </w:r>
      <w:bookmarkStart w:id="71"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1"/>
      <w:r>
        <w:rPr>
          <w:rFonts w:ascii="仿宋_GB2312" w:eastAsia="仿宋_GB2312" w:hint="eastAsia"/>
          <w:color w:val="000000" w:themeColor="text1"/>
          <w:sz w:val="32"/>
          <w:szCs w:val="32"/>
        </w:rPr>
        <w:t>。</w:t>
      </w:r>
      <w:bookmarkStart w:id="72"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无此项开支。</w:t>
      </w:r>
      <w:bookmarkEnd w:id="65"/>
      <w:bookmarkEnd w:id="66"/>
      <w:bookmarkEnd w:id="72"/>
    </w:p>
    <w:p w:rsidR="005E3413" w:rsidRDefault="00402EB1">
      <w:pPr>
        <w:spacing w:line="540" w:lineRule="exact"/>
        <w:ind w:firstLineChars="200" w:firstLine="640"/>
        <w:rPr>
          <w:rFonts w:ascii="仿宋_GB2312" w:eastAsia="仿宋_GB2312"/>
          <w:color w:val="000000" w:themeColor="text1"/>
          <w:sz w:val="32"/>
          <w:szCs w:val="32"/>
        </w:rPr>
      </w:pPr>
      <w:bookmarkStart w:id="73" w:name="OLE_LINK81"/>
      <w:r>
        <w:rPr>
          <w:rFonts w:ascii="仿宋_GB2312" w:eastAsia="仿宋_GB2312" w:hint="eastAsia"/>
          <w:color w:val="000000" w:themeColor="text1"/>
          <w:sz w:val="32"/>
          <w:szCs w:val="32"/>
        </w:rPr>
        <w:lastRenderedPageBreak/>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74"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4"/>
      <w:r>
        <w:rPr>
          <w:rFonts w:ascii="仿宋_GB2312" w:eastAsia="仿宋_GB2312" w:hint="eastAsia"/>
          <w:color w:val="000000" w:themeColor="text1"/>
          <w:sz w:val="32"/>
          <w:szCs w:val="32"/>
        </w:rPr>
        <w:t>，</w:t>
      </w:r>
      <w:bookmarkStart w:id="75" w:name="OLE_LINK41"/>
      <w:bookmarkStart w:id="76"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bookmarkEnd w:id="76"/>
      <w:r>
        <w:rPr>
          <w:rFonts w:ascii="仿宋_GB2312" w:eastAsia="仿宋_GB2312" w:hint="eastAsia"/>
          <w:color w:val="000000" w:themeColor="text1"/>
          <w:sz w:val="32"/>
          <w:szCs w:val="32"/>
        </w:rPr>
        <w:t>。主要用于</w:t>
      </w:r>
      <w:r>
        <w:rPr>
          <w:rFonts w:ascii="仿宋_GB2312" w:eastAsia="仿宋_GB2312" w:hint="eastAsia"/>
          <w:sz w:val="32"/>
          <w:szCs w:val="32"/>
        </w:rPr>
        <w:t>无公务用车</w:t>
      </w:r>
      <w:r>
        <w:rPr>
          <w:rFonts w:ascii="仿宋_GB2312" w:eastAsia="仿宋_GB2312" w:hint="eastAsia"/>
          <w:color w:val="000000" w:themeColor="text1"/>
          <w:sz w:val="32"/>
          <w:szCs w:val="32"/>
        </w:rPr>
        <w:t>等。</w:t>
      </w:r>
      <w:bookmarkStart w:id="77" w:name="OLE_LINK82"/>
      <w:bookmarkEnd w:id="73"/>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7"/>
    </w:p>
    <w:p w:rsidR="005E3413" w:rsidRDefault="00402EB1">
      <w:pPr>
        <w:spacing w:line="540" w:lineRule="exact"/>
        <w:ind w:firstLineChars="200" w:firstLine="640"/>
        <w:rPr>
          <w:rFonts w:ascii="仿宋_GB2312" w:eastAsia="仿宋_GB2312"/>
          <w:color w:val="000000" w:themeColor="text1"/>
          <w:sz w:val="32"/>
          <w:szCs w:val="32"/>
        </w:rPr>
      </w:pPr>
      <w:bookmarkStart w:id="78"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无公务接待费</w:t>
      </w:r>
      <w:r>
        <w:rPr>
          <w:rFonts w:ascii="仿宋_GB2312" w:eastAsia="仿宋_GB2312" w:hint="eastAsia"/>
          <w:color w:val="000000" w:themeColor="text1"/>
          <w:sz w:val="32"/>
          <w:szCs w:val="32"/>
        </w:rPr>
        <w:t>等。</w:t>
      </w:r>
      <w:bookmarkStart w:id="79" w:name="OLE_LINK84"/>
      <w:bookmarkEnd w:id="78"/>
      <w:r>
        <w:rPr>
          <w:rFonts w:ascii="仿宋_GB2312" w:eastAsia="仿宋_GB2312" w:hint="eastAsia"/>
          <w:sz w:val="32"/>
          <w:szCs w:val="32"/>
        </w:rPr>
        <w:t>新疆喀什地区教育局汇总</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9"/>
    </w:p>
    <w:p w:rsidR="005E3413" w:rsidRDefault="00402EB1">
      <w:pPr>
        <w:spacing w:line="540" w:lineRule="exact"/>
        <w:ind w:firstLineChars="200" w:firstLine="640"/>
        <w:rPr>
          <w:rFonts w:ascii="仿宋_GB2312" w:eastAsia="仿宋_GB2312" w:hAnsi="宋体" w:cs="宋体"/>
          <w:color w:val="000000" w:themeColor="text1"/>
          <w:kern w:val="0"/>
          <w:sz w:val="32"/>
          <w:szCs w:val="32"/>
        </w:rPr>
      </w:pPr>
      <w:bookmarkStart w:id="80"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Start w:id="81" w:name="OLE_LINK87"/>
      <w:bookmarkStart w:id="82" w:name="OLE_LINK86"/>
      <w:bookmarkEnd w:id="80"/>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Start w:id="83" w:name="OLE_LINK88"/>
      <w:bookmarkStart w:id="84" w:name="OLE_LINK89"/>
      <w:bookmarkEnd w:id="81"/>
      <w:bookmarkEnd w:id="82"/>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，预决算差异率0%，差异主要原因是:无变化；</w:t>
      </w:r>
      <w:bookmarkStart w:id="85" w:name="OLE_LINK90"/>
      <w:bookmarkEnd w:id="83"/>
      <w:bookmarkEnd w:id="84"/>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，预决算差异率0%，差异主要原因是:无变化；</w:t>
      </w:r>
      <w:bookmarkStart w:id="86" w:name="OLE_LINK91"/>
      <w:bookmarkEnd w:id="85"/>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无变化。</w:t>
      </w:r>
    </w:p>
    <w:p w:rsidR="005E3413" w:rsidRDefault="00402EB1">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5E3413" w:rsidRDefault="00402EB1">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2018年度新疆喀什地区教育局汇总机关运行经费支出16.95万元，与上年相比，增加10.92万元，增长181.09%，增加的主要原因是：增加了财政拨专项工作经费。</w:t>
      </w:r>
    </w:p>
    <w:p w:rsidR="005E3413" w:rsidRDefault="00402EB1">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5E3413" w:rsidRDefault="00402EB1">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87" w:name="OLE_LINK45"/>
      <w:r>
        <w:rPr>
          <w:rFonts w:ascii="仿宋_GB2312" w:eastAsia="仿宋_GB2312" w:hint="eastAsia"/>
          <w:color w:val="000000" w:themeColor="text1"/>
          <w:sz w:val="32"/>
          <w:szCs w:val="32"/>
        </w:rPr>
        <w:t>政府采购支出总额</w:t>
      </w:r>
      <w:bookmarkEnd w:id="87"/>
      <w:r>
        <w:rPr>
          <w:rFonts w:ascii="仿宋_GB2312" w:eastAsia="仿宋_GB2312" w:hint="eastAsia"/>
          <w:sz w:val="32"/>
          <w:szCs w:val="32"/>
        </w:rPr>
        <w:t>154.98</w:t>
      </w:r>
      <w:r>
        <w:rPr>
          <w:rFonts w:ascii="仿宋_GB2312" w:eastAsia="仿宋_GB2312" w:hint="eastAsia"/>
          <w:color w:val="000000" w:themeColor="text1"/>
          <w:sz w:val="32"/>
          <w:szCs w:val="32"/>
        </w:rPr>
        <w:t>万元，其中：</w:t>
      </w:r>
      <w:bookmarkStart w:id="88" w:name="OLE_LINK46"/>
      <w:r>
        <w:rPr>
          <w:rFonts w:ascii="仿宋_GB2312" w:eastAsia="仿宋_GB2312" w:hint="eastAsia"/>
          <w:color w:val="000000" w:themeColor="text1"/>
          <w:sz w:val="32"/>
          <w:szCs w:val="32"/>
        </w:rPr>
        <w:t>政府采购货物支出</w:t>
      </w:r>
      <w:bookmarkEnd w:id="88"/>
      <w:r>
        <w:rPr>
          <w:rFonts w:ascii="仿宋_GB2312" w:eastAsia="仿宋_GB2312" w:hint="eastAsia"/>
          <w:sz w:val="32"/>
          <w:szCs w:val="32"/>
        </w:rPr>
        <w:t>150.43</w:t>
      </w:r>
      <w:r>
        <w:rPr>
          <w:rFonts w:ascii="仿宋_GB2312" w:eastAsia="仿宋_GB2312" w:hint="eastAsia"/>
          <w:color w:val="000000" w:themeColor="text1"/>
          <w:sz w:val="32"/>
          <w:szCs w:val="32"/>
        </w:rPr>
        <w:t>万元、</w:t>
      </w:r>
      <w:bookmarkStart w:id="89" w:name="OLE_LINK47"/>
      <w:r>
        <w:rPr>
          <w:rFonts w:ascii="仿宋_GB2312" w:eastAsia="仿宋_GB2312" w:hint="eastAsia"/>
          <w:color w:val="000000" w:themeColor="text1"/>
          <w:sz w:val="32"/>
          <w:szCs w:val="32"/>
        </w:rPr>
        <w:t>政府采购工程支出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8"/>
      <w:r>
        <w:rPr>
          <w:rFonts w:ascii="仿宋_GB2312" w:eastAsia="仿宋_GB2312" w:hint="eastAsia"/>
          <w:color w:val="000000" w:themeColor="text1"/>
          <w:sz w:val="32"/>
          <w:szCs w:val="32"/>
        </w:rPr>
        <w:t>政府采购服务支出</w:t>
      </w:r>
      <w:bookmarkEnd w:id="90"/>
      <w:r>
        <w:rPr>
          <w:rFonts w:ascii="仿宋_GB2312" w:eastAsia="仿宋_GB2312" w:hint="eastAsia"/>
          <w:sz w:val="32"/>
          <w:szCs w:val="32"/>
        </w:rPr>
        <w:t>4.55</w:t>
      </w:r>
      <w:r>
        <w:rPr>
          <w:rFonts w:ascii="仿宋_GB2312" w:eastAsia="仿宋_GB2312" w:hint="eastAsia"/>
          <w:color w:val="000000" w:themeColor="text1"/>
          <w:sz w:val="32"/>
          <w:szCs w:val="32"/>
        </w:rPr>
        <w:t>万元。</w:t>
      </w:r>
    </w:p>
    <w:p w:rsidR="005E3413" w:rsidRDefault="00402EB1">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5E3413" w:rsidRDefault="00402EB1">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lastRenderedPageBreak/>
        <w:t>（一）国有资产占用情况说明</w:t>
      </w:r>
    </w:p>
    <w:p w:rsidR="005E3413" w:rsidRDefault="00402EB1">
      <w:pPr>
        <w:spacing w:line="540" w:lineRule="exact"/>
        <w:ind w:firstLineChars="200" w:firstLine="640"/>
        <w:rPr>
          <w:rFonts w:ascii="仿宋_GB2312" w:eastAsia="仿宋_GB2312"/>
          <w:color w:val="000000" w:themeColor="text1"/>
          <w:sz w:val="32"/>
          <w:szCs w:val="32"/>
        </w:rPr>
      </w:pPr>
      <w:bookmarkStart w:id="91"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8</w:t>
      </w:r>
      <w:r>
        <w:rPr>
          <w:rFonts w:ascii="仿宋_GB2312" w:eastAsia="仿宋_GB2312" w:hint="eastAsia"/>
          <w:color w:val="000000" w:themeColor="text1"/>
          <w:sz w:val="32"/>
          <w:szCs w:val="32"/>
        </w:rPr>
        <w:t>辆，价值</w:t>
      </w:r>
      <w:r>
        <w:rPr>
          <w:rFonts w:ascii="仿宋_GB2312" w:eastAsia="仿宋_GB2312" w:hint="eastAsia"/>
          <w:sz w:val="32"/>
          <w:szCs w:val="32"/>
        </w:rPr>
        <w:t>219.57</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8</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一般公务用车；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6</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6</w:t>
      </w:r>
      <w:r>
        <w:rPr>
          <w:rFonts w:ascii="仿宋_GB2312" w:eastAsia="仿宋_GB2312" w:hint="eastAsia"/>
          <w:color w:val="000000" w:themeColor="text1"/>
          <w:sz w:val="32"/>
          <w:szCs w:val="32"/>
        </w:rPr>
        <w:t>台（套）。</w:t>
      </w:r>
      <w:bookmarkEnd w:id="91"/>
    </w:p>
    <w:p w:rsidR="005E3413" w:rsidRDefault="00402EB1">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2018年度，本部门单位预算绩效自评情况：喀什地区教育局高度重视预算绩效管理和绩效自评工作，按照绩效评价工作管理要求，及时成立项目绩效领导工作小组，对16个项目资金做到专人负责、层层把关、层层监控，认真开展绩效管理和绩效自评工作，切实将项目资金绩效评价工作做实做细。</w:t>
      </w:r>
    </w:p>
    <w:p w:rsidR="005E3413" w:rsidRDefault="00402EB1">
      <w:pPr>
        <w:spacing w:line="540" w:lineRule="exact"/>
        <w:ind w:left="-1" w:right="-1" w:firstLine="646"/>
        <w:jc w:val="left"/>
      </w:pPr>
      <w:r>
        <w:rPr>
          <w:rFonts w:ascii="仿宋_GB2312" w:eastAsia="仿宋_GB2312" w:hAnsi="仿宋_GB2312" w:cs="仿宋_GB2312"/>
          <w:sz w:val="32"/>
        </w:rPr>
        <w:t>1、安保人员工资项目绩效自评综述：根据年初设定的绩效目标，该项目绩效自评得分为91分。项目全年预算数为24万元，执行数为24万元，完成预算的100%。主要产出和效果：保障局机关人员生命及财产安全，确保单位安保人员值班室、单位办公楼、单位重点部位的防控以及局机关工作的各项安全问题，确保所有员工的安全。发现的问题及原因：不存在问题。下一步改进措施： 继续与疆南安保公司签订聘用合同，多与疆南安保公司沟通，多对安保人员进行培训。</w:t>
      </w:r>
    </w:p>
    <w:p w:rsidR="005E3413" w:rsidRDefault="00402EB1">
      <w:pPr>
        <w:spacing w:line="540" w:lineRule="exact"/>
        <w:ind w:left="-1" w:right="-1" w:firstLine="646"/>
        <w:jc w:val="left"/>
      </w:pPr>
      <w:r>
        <w:rPr>
          <w:rFonts w:ascii="仿宋_GB2312" w:eastAsia="仿宋_GB2312" w:hAnsi="仿宋_GB2312" w:cs="仿宋_GB2312"/>
          <w:sz w:val="32"/>
        </w:rPr>
        <w:t>2、“三区”教学经费项目绩效自评综述：根据年初设定的绩效</w:t>
      </w:r>
      <w:r>
        <w:rPr>
          <w:rFonts w:ascii="仿宋_GB2312" w:eastAsia="仿宋_GB2312" w:hAnsi="仿宋_GB2312" w:cs="仿宋_GB2312"/>
          <w:sz w:val="32"/>
        </w:rPr>
        <w:lastRenderedPageBreak/>
        <w:t>目标，该项目绩效自评得分为94分。项目全年预算数为407.32万元，执行数为407.32万元，完成预算的100%。主要产出和效果：主要通过教师，到达推动教育精准扶贫，推进教师交流轮岗的效果。通过“三区”，大力的推进了教师队伍的建设，促进了教师队伍经验交流。发现的问题及原因：不存在问题。下一步改进措施： 进一步加强对“三区”教师的管理工作，合理配分教师，将更多需要的学校进行资源倾斜，让“三区”的作用发挥到最大效果，同时要更严格教师考勤，合理规划教师工作经费。</w:t>
      </w:r>
    </w:p>
    <w:p w:rsidR="005E3413" w:rsidRDefault="00402EB1">
      <w:pPr>
        <w:spacing w:line="540" w:lineRule="exact"/>
        <w:ind w:left="-1" w:right="-1" w:firstLine="646"/>
        <w:jc w:val="left"/>
      </w:pPr>
      <w:r>
        <w:rPr>
          <w:rFonts w:ascii="仿宋_GB2312" w:eastAsia="仿宋_GB2312" w:hAnsi="仿宋_GB2312" w:cs="仿宋_GB2312"/>
          <w:sz w:val="32"/>
        </w:rPr>
        <w:t>3、大学生实习经费项目绩效自评综述：根据年初设定的绩效目标，该项目绩效自评得分为94分。项目全年预算数为43.64万元，执行数为43.64万元，完成预算的100%。主要产出和效果：主要通过自治区大学生实习经费项目，达到让实习大学生切身体会到国家对于大学生实习工作的关心与大力支持的效果。发现的问题及原因：不存在问题。下一步改进措施： 在以后组织开展的自治区大学生实习工作中，地区将严格落实各县（市）所分配的大学生人数，制定合理的慰问标准统一按照下拨的慰问资金进行采购慰问品进行慰问工作。</w:t>
      </w:r>
    </w:p>
    <w:p w:rsidR="005E3413" w:rsidRDefault="00402EB1">
      <w:pPr>
        <w:spacing w:line="540" w:lineRule="exact"/>
        <w:ind w:left="-1" w:right="-1" w:firstLine="646"/>
        <w:jc w:val="left"/>
      </w:pPr>
      <w:r>
        <w:rPr>
          <w:rFonts w:ascii="仿宋_GB2312" w:eastAsia="仿宋_GB2312" w:hAnsi="仿宋_GB2312" w:cs="仿宋_GB2312"/>
          <w:sz w:val="32"/>
        </w:rPr>
        <w:t>4、中职经费项目绩效自评综述：根据年初设定的绩效目标，该项目绩效自评得分为95.49分。项目全年预算数为48.63万元，执行数为48.63万元，完成预算的100%。主要产出和效果：1、中职经费主要用于中等职业学校教学常规检查，次数为2次。2、科室人员参加自治区组织召开的相关业务会议、学习培训等差旅费，教育专项活动等。3、承办自治区职业技能大赛喀什分赛区比赛1次、4、</w:t>
      </w:r>
      <w:r>
        <w:rPr>
          <w:rFonts w:ascii="仿宋_GB2312" w:eastAsia="仿宋_GB2312" w:hAnsi="仿宋_GB2312" w:cs="仿宋_GB2312"/>
          <w:sz w:val="32"/>
        </w:rPr>
        <w:lastRenderedPageBreak/>
        <w:t>进一步规范了职业学校常规管理，有效提升科室人员业务水平和综合素质，有效提升学生职业技能水平。有效提升科室人员业务水平和综合素质。发现的问题及原因：不存在问题。下一步改进措施： 加强组织领导，做好中等职业学校教学常规检查，选派科室人员参加相关业务会议、学习培训等，并做好教育专项活动等。有效提升喀什地区职业院校办学水平。</w:t>
      </w:r>
    </w:p>
    <w:p w:rsidR="005E3413" w:rsidRDefault="00402EB1">
      <w:pPr>
        <w:spacing w:line="540" w:lineRule="exact"/>
        <w:ind w:left="-1" w:right="-1" w:firstLine="646"/>
        <w:jc w:val="left"/>
      </w:pPr>
      <w:r>
        <w:rPr>
          <w:rFonts w:ascii="仿宋_GB2312" w:eastAsia="仿宋_GB2312" w:hAnsi="仿宋_GB2312" w:cs="仿宋_GB2312"/>
          <w:sz w:val="32"/>
        </w:rPr>
        <w:t>5、招考教师工作经费项目绩效自评综述：根据年初设定的绩效目标，该项目绩效自评得分为91分。项目全年预算数为2.5万元，执行数为2.5万元，完成预算的100%。主要产出和效果：2018年喀什地区教师补充工作实际补充教师共计20991人。其中，由地区组织公开面向社会聘用特岗教师6982人，普通高中教师聘请185人。通过自主聘用、公开聘用等方式，聘请政治合格，国家通用语言达标教师，满足喀什地区各学段对国家通用语言教师的需求，缓解喀什地区国家通用语言教师短缺的问题，使我区的国家通用语言教学质量水平有效提高。发现的问题及原因：不存在问题。下一步改进措施： 地区教育局将继续加大宣传力度，积极行动，按照自治区招考条件，严把教师入口关，坚持把政治素质、国家通用语言授课能力作为首要条件，扎实做好教师招用工作。</w:t>
      </w:r>
    </w:p>
    <w:p w:rsidR="005E3413" w:rsidRDefault="00402EB1">
      <w:pPr>
        <w:spacing w:line="540" w:lineRule="exact"/>
        <w:ind w:left="-1" w:right="-1" w:firstLine="646"/>
        <w:jc w:val="left"/>
      </w:pPr>
      <w:r>
        <w:rPr>
          <w:rFonts w:ascii="仿宋_GB2312" w:eastAsia="仿宋_GB2312" w:hAnsi="仿宋_GB2312" w:cs="仿宋_GB2312"/>
          <w:sz w:val="32"/>
        </w:rPr>
        <w:t>6、优秀教师表彰经费项目绩效自评综述：根据年初设定的绩效目标，该项目绩效自评得分为94分。项目全年预算数为32.6万元，执行数为32.6万元，完成预算的100%。主要产出和效果：表彰政治合格，工作热情，恪尽职守的干部对我区学前教育事业发展做出的突出贡献，弘扬他们的高尚师德和奉献精神，大力营造尊师重教</w:t>
      </w:r>
      <w:r>
        <w:rPr>
          <w:rFonts w:ascii="仿宋_GB2312" w:eastAsia="仿宋_GB2312" w:hAnsi="仿宋_GB2312" w:cs="仿宋_GB2312"/>
          <w:sz w:val="32"/>
        </w:rPr>
        <w:lastRenderedPageBreak/>
        <w:t>的良好社会氛围。通过2018年优秀教师表彰工作，营造了尊师重教的良好社会氛围，对推动我区教师队伍建设起了积极的作用。发现的问题及原因：不存在问题。下一步改进措施： 严格按照文件要求执行，做好2019年喀什地区优秀教师表彰工作。</w:t>
      </w:r>
    </w:p>
    <w:p w:rsidR="005E3413" w:rsidRDefault="00402EB1">
      <w:pPr>
        <w:spacing w:line="540" w:lineRule="exact"/>
        <w:ind w:left="-1" w:right="-1" w:firstLine="646"/>
        <w:jc w:val="left"/>
      </w:pPr>
      <w:r>
        <w:rPr>
          <w:rFonts w:ascii="仿宋_GB2312" w:eastAsia="仿宋_GB2312" w:hAnsi="仿宋_GB2312" w:cs="仿宋_GB2312"/>
          <w:sz w:val="32"/>
        </w:rPr>
        <w:t>7、</w:t>
      </w:r>
      <w:r w:rsidR="00B70964">
        <w:rPr>
          <w:rFonts w:ascii="仿宋_GB2312" w:eastAsia="仿宋_GB2312" w:hAnsi="仿宋_GB2312" w:cs="仿宋_GB2312" w:hint="eastAsia"/>
          <w:sz w:val="32"/>
        </w:rPr>
        <w:t>双语</w:t>
      </w:r>
      <w:bookmarkStart w:id="92" w:name="_GoBack"/>
      <w:bookmarkEnd w:id="92"/>
      <w:r>
        <w:rPr>
          <w:rFonts w:ascii="仿宋_GB2312" w:eastAsia="仿宋_GB2312" w:hAnsi="仿宋_GB2312" w:cs="仿宋_GB2312"/>
          <w:sz w:val="32"/>
        </w:rPr>
        <w:t>质量检测费项目绩效自评综述：根据年初设定的绩效目标，该项目绩效自评得分为92分。项目全年预算数为34.06万元，执行数为34.06万元，完成预算的100%。主要产出和效果：加强教育指导、研究、制定出台相关政策，规范办学行为，大力普及国家通用语言文字教育。通过考试的顺利实施，积极配合自治区实施质量监测，强化监测结果反馈运用，更好服务教育决策、指导改进教学，全面提高教育质量。发现的问题及原因：不存在问题。下一步改进措施： 加强组织领导，做好考试各项管理工作，确保考试安全、平稳、有序进行。积极配合自治区实施质量监测，强化监测结果反馈运用，更好服务教育决策、指导改进教学，全面提高教育质量。严格按照审批程序逐级审批、支出，实现考试工作安全、平稳、有序开展。</w:t>
      </w:r>
    </w:p>
    <w:p w:rsidR="005E3413" w:rsidRDefault="00402EB1">
      <w:pPr>
        <w:spacing w:line="540" w:lineRule="exact"/>
        <w:ind w:left="-1" w:right="-1" w:firstLine="646"/>
        <w:jc w:val="left"/>
      </w:pPr>
      <w:r>
        <w:rPr>
          <w:rFonts w:ascii="仿宋_GB2312" w:eastAsia="仿宋_GB2312" w:hAnsi="仿宋_GB2312" w:cs="仿宋_GB2312"/>
          <w:sz w:val="32"/>
        </w:rPr>
        <w:t>8、教师跟班住校经费项目绩效自评综述：根据年初设定的绩效目标，该项目绩效自评得分为96.769分。项目全年预算数为599.6万元，执行数为597.1万元，完成预算的99.58%。主要产出和效果：中小学幼儿园教师的培训工作，主办教师资格认定工作，做好教师继续教育工作。通过强化培训，使参训教师在政治素质、教师素养，教育教学和专业发展能力等方面明显提高，为全区学前和中小学全面推进国家通用语言文字授课提供合格的师资储备。发现的问题及</w:t>
      </w:r>
      <w:r>
        <w:rPr>
          <w:rFonts w:ascii="仿宋_GB2312" w:eastAsia="仿宋_GB2312" w:hAnsi="仿宋_GB2312" w:cs="仿宋_GB2312"/>
          <w:sz w:val="32"/>
        </w:rPr>
        <w:lastRenderedPageBreak/>
        <w:t>原因：不存在问题。下一步改进措施： 进一步加强对参训教师的监管工作，使参训教师在政治素质、教师素养，教育教学和专业发展能力等方面明显提高，为全区学前和中小学全面推进国家通用语言文字授课提供合格的师资储备。</w:t>
      </w:r>
    </w:p>
    <w:p w:rsidR="005E3413" w:rsidRDefault="00402EB1">
      <w:pPr>
        <w:spacing w:line="540" w:lineRule="exact"/>
        <w:ind w:left="-1" w:right="-1" w:firstLine="646"/>
        <w:jc w:val="left"/>
      </w:pPr>
      <w:r>
        <w:rPr>
          <w:rFonts w:ascii="仿宋_GB2312" w:eastAsia="仿宋_GB2312" w:hAnsi="仿宋_GB2312" w:cs="仿宋_GB2312"/>
          <w:sz w:val="32"/>
        </w:rPr>
        <w:t>9、教育质量监测设备购置项目绩效自评综述：根据年初设定的绩效目标，该项目绩效自评得分为88.7分。项目全年预算数为86万元，执行数为68.4万元，完成预算的79.53%。主要产出和效果：主要通过对地区中小学生主要学科监测，加强对学校教育教学宏观管理，不断提升国家通用语言教学。加强对教育教学宏观管理，提升国家通用语言教学通过考试，提升学校教育教学水平和学校管理水平。发现的问题及原因：不存在问题。下一步改进措施： 加强考试组织领导，加强组织纪律学习，做好考试各项管理工作，切实维护学考的严肃性和权威性，确保考试工作顺利进行，确保考试安全、平稳、有序进行。</w:t>
      </w:r>
    </w:p>
    <w:p w:rsidR="005E3413" w:rsidRDefault="00402EB1">
      <w:pPr>
        <w:spacing w:line="540" w:lineRule="exact"/>
        <w:ind w:left="-1" w:right="-1" w:firstLine="646"/>
        <w:jc w:val="left"/>
      </w:pPr>
      <w:r>
        <w:rPr>
          <w:rFonts w:ascii="仿宋_GB2312" w:eastAsia="仿宋_GB2312" w:hAnsi="仿宋_GB2312" w:cs="仿宋_GB2312"/>
          <w:sz w:val="32"/>
        </w:rPr>
        <w:t>10、教育督查经费项目绩效自评综述：根据年初设定的绩效目标，该项目绩效自评得分为89.81分。项目全年预算数为50万元，执行数为49.05万元，完成预算的98.1%。主要产出和效果：本项目为教育督导工作经费，依托行署教育督查经费，对各级政府履行教育职责情况进行督导，对各级各类学校教育教学情况进行督查，督促各级政府充分履行教育职责，指导各类学校不断规范办学行为，办好人民满意的高质量教育。促进了各级政府统筹解决学生入学“乡村弱”和“城市挤”等各类问题。充分履行督政督学工作职责，依法对各级政府履行教育职责情况进行督导，对各级各类学校教育</w:t>
      </w:r>
      <w:r>
        <w:rPr>
          <w:rFonts w:ascii="仿宋_GB2312" w:eastAsia="仿宋_GB2312" w:hAnsi="仿宋_GB2312" w:cs="仿宋_GB2312"/>
          <w:sz w:val="32"/>
        </w:rPr>
        <w:lastRenderedPageBreak/>
        <w:t>教学情况进行督查，督促各级政府充分履行教育职责，指导各类学校不断规范办学行为，办好人民满意的高质量教育。发现的问题及原因：不存在问题。下一步改进措施： 把教育督查项目资金预算绩效管理理念和方法深度融入到预算编制、执行和监督全过程，持续深入推进教育督查项目资金全过程绩效管理。</w:t>
      </w:r>
    </w:p>
    <w:p w:rsidR="005E3413" w:rsidRDefault="00402EB1">
      <w:pPr>
        <w:spacing w:line="540" w:lineRule="exact"/>
        <w:ind w:left="-1" w:right="-1" w:firstLine="646"/>
        <w:jc w:val="left"/>
      </w:pPr>
      <w:r>
        <w:rPr>
          <w:rFonts w:ascii="仿宋_GB2312" w:eastAsia="仿宋_GB2312" w:hAnsi="仿宋_GB2312" w:cs="仿宋_GB2312"/>
          <w:sz w:val="32"/>
        </w:rPr>
        <w:t>11、奖补资金项目绩效自评综述：根据年初设定的绩效目标，该项目绩效自评得分为94分。项目全年预算数为40万元，执行数为40万元，完成预算的100%。主要产出和效果：解决家庭经济困难学生资助及学生资助的相关工作，有效改善办公条件，提高工作效率，推动学生资助工作，全面提高教育教学质量。发现的问题及原因：不存在问题。下一步改进措施： 严格按照项目资金用途，认真做好结余资金预算。扎实落实各项学生资助政策，努力探索改进创新工作方法，提高工作效率，积极协调争取国家助学金贷款奖补专项资金。</w:t>
      </w:r>
    </w:p>
    <w:p w:rsidR="005E3413" w:rsidRDefault="00402EB1">
      <w:pPr>
        <w:spacing w:line="540" w:lineRule="exact"/>
        <w:ind w:left="-1" w:right="-1" w:firstLine="646"/>
        <w:jc w:val="left"/>
      </w:pPr>
      <w:r>
        <w:rPr>
          <w:rFonts w:ascii="仿宋_GB2312" w:eastAsia="仿宋_GB2312" w:hAnsi="仿宋_GB2312" w:cs="仿宋_GB2312"/>
          <w:sz w:val="32"/>
        </w:rPr>
        <w:t>12、高考考务费返还项目绩效自评综述：根据年初设定的绩效目标，该项目绩效自评得分为88.5分。项目全年预算数为5.33万元，执行数为5.33万元，完成预算的100%。主要产出和效果：此项目主要用于考试试卷拉运、组织考试、考务用品等。通过考试，为国家选拔高素质人才，提高个人学历。发现的问题及原因：不存在问题。下一步改进措施： 加强考试组织实施领导，确保试卷安全，加强考务培训，做好考试各项管理工作，切实维护国家级考试的严肃性权威性，营造公正、公开、公平的考试氛围，确保考试各项工作安全、有序、平稳进行。</w:t>
      </w:r>
    </w:p>
    <w:p w:rsidR="005E3413" w:rsidRDefault="00402EB1">
      <w:pPr>
        <w:spacing w:line="540" w:lineRule="exact"/>
        <w:ind w:left="-1" w:right="-1" w:firstLine="646"/>
        <w:jc w:val="left"/>
      </w:pPr>
      <w:r>
        <w:rPr>
          <w:rFonts w:ascii="仿宋_GB2312" w:eastAsia="仿宋_GB2312" w:hAnsi="仿宋_GB2312" w:cs="仿宋_GB2312"/>
          <w:sz w:val="32"/>
        </w:rPr>
        <w:lastRenderedPageBreak/>
        <w:t>13、工作经费项目绩效自评综述：根据年初设定的绩效目标，该项目绩效自评得分为88.746分。项目全年预算数为100.5万元，执行数为91.22万元，完成预算的90.77%。主要产出和效果：充分履行为民办实事工作职责，依托行经费，完成脱贫工作，对各个贫困户及一些困难家庭进行扶贫帮困工作，保障农村尽快脱贫。是具有新疆特色的群众路线教育实践活动,是促进新疆科学发展,民族团结,宗教和谐,夯实基础,长治久安的重大治本之策,为实现地区社会和长治久安提供了坚强保障。发现的问题及原因：不存在问题。下一步改进措施： 进一步把教育经费项目资金预算绩效管理理念和方法深度融入到预算编制、执行和监督全过程，持续深入推进教育督查项目资金全过程绩效管理。认真开展综合绩效评价，分析项目资金管理和使用中的经验和问题，进一步完善资金使用管理制度，提高资金使用效益。</w:t>
      </w:r>
    </w:p>
    <w:p w:rsidR="005E3413" w:rsidRDefault="00402EB1">
      <w:pPr>
        <w:spacing w:line="540" w:lineRule="exact"/>
        <w:ind w:left="-1" w:right="-1" w:firstLine="646"/>
        <w:jc w:val="left"/>
      </w:pPr>
      <w:r>
        <w:rPr>
          <w:rFonts w:ascii="仿宋_GB2312" w:eastAsia="仿宋_GB2312" w:hAnsi="仿宋_GB2312" w:cs="仿宋_GB2312"/>
          <w:sz w:val="32"/>
        </w:rPr>
        <w:t>14、促进教育事业发展经费项目绩效自评综述：根据年初设定的绩效目标，该项目绩效自评得分为91分。项目全年预算数为10万元，执行数为10万元，完成预算的100%。主要产出和效果：此项目资金全部用于两次会议的会务工作、材料印制和办公费用。完善了教育援疆工作机制，切实解决中职学校专业教师不足、专业设置不合理、实训基地不足等问题，加强南疆中职学校软件建设、补齐硬件设施，推进南疆中等教育发展，深刻认识南疆教育的发展和提高必须紧密切合形势新常态，奠定南疆社会和长治久安的基础。通过使用10万元项目资金，建立援疆省市职业学校和南疆中等职业学校结对子团队式帮扶关系，推进南疆教育实现更高质量的普及，</w:t>
      </w:r>
      <w:r>
        <w:rPr>
          <w:rFonts w:ascii="仿宋_GB2312" w:eastAsia="仿宋_GB2312" w:hAnsi="仿宋_GB2312" w:cs="仿宋_GB2312"/>
          <w:sz w:val="32"/>
        </w:rPr>
        <w:lastRenderedPageBreak/>
        <w:t>推进南疆教育质量的提升。发现的问题及原因：不存在问题。下一步改进措施： 严格按照项目资金用途，认真做好资金预算。努力探索改进创新工作方法，提高工作效率。</w:t>
      </w:r>
    </w:p>
    <w:p w:rsidR="005E3413" w:rsidRDefault="00402EB1">
      <w:pPr>
        <w:spacing w:line="540" w:lineRule="exact"/>
        <w:ind w:left="-1" w:right="-1" w:firstLine="646"/>
        <w:jc w:val="left"/>
      </w:pPr>
      <w:r>
        <w:rPr>
          <w:rFonts w:ascii="仿宋_GB2312" w:eastAsia="仿宋_GB2312" w:hAnsi="仿宋_GB2312" w:cs="仿宋_GB2312"/>
          <w:sz w:val="32"/>
        </w:rPr>
        <w:t>15、考务支出项目绩效自评综述：根据年初设定的绩效目标，该项目绩效自评得分为85.2263分。项目全年预算数为1,254.79万元，执行数为1,033.36万元，完成预算的82.35%。主要产出和效果：通过国家教育部和自治区统一安排考试，完成23项考试，为保障地区及12县市教育质量的提升，确保每项考试顺利完成。加快各项考试考务工作顺利完成，使教育均衡发展。发现的问题及原因：不存在问题。下一步改进措施： 把教育项目资金预算绩效管理理念和方法深度融入到预算编制、执行和监督全过程，持续深入推进教育项目资金全过程绩效管理。</w:t>
      </w:r>
    </w:p>
    <w:p w:rsidR="005E3413" w:rsidRDefault="00402EB1">
      <w:pPr>
        <w:spacing w:line="540" w:lineRule="exact"/>
        <w:ind w:left="-1" w:right="-1" w:firstLine="646"/>
        <w:jc w:val="left"/>
      </w:pPr>
      <w:r>
        <w:rPr>
          <w:rFonts w:ascii="仿宋_GB2312" w:eastAsia="仿宋_GB2312" w:hAnsi="仿宋_GB2312" w:cs="仿宋_GB2312"/>
          <w:sz w:val="32"/>
        </w:rPr>
        <w:t>16、“三区”人才经费项目绩效自评综述：根据年初设定的绩效目标，该项目绩效自评得分为94分。项目全年预算数为2.05万元，执行数为2.05万元，完成预算的100%。主要产出和效果：主要用于发放教师补助经费及购买教师保险，通过教师，达到推动教育精准扶贫，推进教师交流轮岗的效果。发现的问题及原因：不存在问题。下一步改进措施： 进一步加强对“三区”人才教师的管理工作，合理分配教师，将更多需要的学校进行资源倾斜，让“三区”人才的作用发挥到最大效果，同时要更严格执行教师的考勤制度，合理规划教师工作经费。</w:t>
      </w:r>
    </w:p>
    <w:p w:rsidR="005E3413" w:rsidRDefault="00402EB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5E3413" w:rsidRDefault="00402EB1">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财政拨款收入：指同级财政当年拨付的资金。</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w:t>
      </w:r>
      <w:r>
        <w:rPr>
          <w:rFonts w:ascii="仿宋_GB2312" w:eastAsia="仿宋_GB2312" w:hint="eastAsia"/>
          <w:sz w:val="32"/>
          <w:szCs w:val="32"/>
        </w:rPr>
        <w:lastRenderedPageBreak/>
        <w:t>收入、其他收入的结转和结余。</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5E3413" w:rsidRDefault="00402EB1">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E3413" w:rsidRDefault="00402EB1">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205（类）99（款）99（项）指：其他教育支出。205（类）01（款）01（项）指：行政运行。205（类）</w:t>
      </w:r>
      <w:r>
        <w:rPr>
          <w:rFonts w:ascii="仿宋_GB2312" w:eastAsia="仿宋_GB2312" w:hint="eastAsia"/>
          <w:sz w:val="32"/>
          <w:szCs w:val="32"/>
        </w:rPr>
        <w:lastRenderedPageBreak/>
        <w:t>02（款）99（项）指：其他普通教育支出。205（类）01（款）99（项）指：其他教育管理事务支出。205（类）01（款）02（项）指：一般行政管理事务。205（类）02（款）01（项）指：学前教育。205（类）03（款）02（项）指：中专教育。229（类）99（款）01（项）指：其他支出。205（类）02（款）05（项）指：高等教育。208（类）05（款）05（项）指：机关事业单位基本养老保险缴费支出。</w:t>
      </w:r>
    </w:p>
    <w:p w:rsidR="005E3413" w:rsidRDefault="00402EB1">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5E3413" w:rsidRDefault="005E3413">
      <w:pPr>
        <w:spacing w:line="540" w:lineRule="exact"/>
        <w:ind w:firstLineChars="200" w:firstLine="643"/>
        <w:rPr>
          <w:rFonts w:ascii="仿宋_GB2312" w:eastAsia="仿宋_GB2312"/>
          <w:b/>
          <w:sz w:val="32"/>
          <w:szCs w:val="32"/>
        </w:rPr>
      </w:pPr>
    </w:p>
    <w:p w:rsidR="005E3413" w:rsidRDefault="00402EB1">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5E3413" w:rsidRDefault="00402EB1">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5E3413" w:rsidRDefault="00402EB1">
      <w:pPr>
        <w:spacing w:line="540" w:lineRule="exact"/>
        <w:ind w:firstLineChars="200" w:firstLine="640"/>
        <w:rPr>
          <w:rFonts w:ascii="仿宋_GB2312" w:eastAsia="仿宋_GB2312"/>
          <w:sz w:val="32"/>
          <w:szCs w:val="32"/>
        </w:rPr>
        <w:sectPr w:rsidR="005E3413">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5E3413" w:rsidRDefault="005E3413">
      <w:pPr>
        <w:spacing w:line="540" w:lineRule="exact"/>
        <w:rPr>
          <w:rFonts w:ascii="仿宋_GB2312" w:eastAsia="仿宋_GB2312"/>
          <w:sz w:val="32"/>
          <w:szCs w:val="32"/>
        </w:rPr>
      </w:pPr>
    </w:p>
    <w:sectPr w:rsidR="005E3413" w:rsidSect="005E34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638" w:rsidRDefault="00865638" w:rsidP="005E3413">
      <w:r>
        <w:separator/>
      </w:r>
    </w:p>
  </w:endnote>
  <w:endnote w:type="continuationSeparator" w:id="0">
    <w:p w:rsidR="00865638" w:rsidRDefault="00865638" w:rsidP="005E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13" w:rsidRDefault="005E3413">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sidR="00402EB1">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sidR="00402EB1">
      <w:rPr>
        <w:rStyle w:val="a8"/>
        <w:rFonts w:ascii="宋体" w:eastAsia="宋体" w:hAnsi="宋体"/>
        <w:sz w:val="28"/>
        <w:szCs w:val="28"/>
      </w:rPr>
      <w:t>- 12 -</w:t>
    </w:r>
    <w:r>
      <w:rPr>
        <w:rStyle w:val="a8"/>
        <w:rFonts w:ascii="宋体" w:eastAsia="宋体" w:hAnsi="宋体"/>
        <w:sz w:val="28"/>
        <w:szCs w:val="28"/>
      </w:rPr>
      <w:fldChar w:fldCharType="end"/>
    </w:r>
  </w:p>
  <w:p w:rsidR="005E3413" w:rsidRDefault="005E3413">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13" w:rsidRDefault="005E3413">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sidR="00402EB1">
      <w:rPr>
        <w:rStyle w:val="a8"/>
        <w:rFonts w:ascii="宋体" w:eastAsia="宋体" w:hAnsi="宋体"/>
        <w:sz w:val="28"/>
      </w:rPr>
      <w:instrText xml:space="preserve"> PAGE </w:instrText>
    </w:r>
    <w:r>
      <w:rPr>
        <w:rStyle w:val="a8"/>
        <w:rFonts w:ascii="宋体" w:eastAsia="宋体" w:hAnsi="宋体"/>
        <w:sz w:val="28"/>
      </w:rPr>
      <w:fldChar w:fldCharType="separate"/>
    </w:r>
    <w:r w:rsidR="00145B2C">
      <w:rPr>
        <w:rStyle w:val="a8"/>
        <w:rFonts w:ascii="宋体" w:eastAsia="宋体" w:hAnsi="宋体"/>
        <w:noProof/>
        <w:sz w:val="28"/>
      </w:rPr>
      <w:t>- 17 -</w:t>
    </w:r>
    <w:r>
      <w:rPr>
        <w:rStyle w:val="a8"/>
        <w:rFonts w:ascii="宋体" w:eastAsia="宋体" w:hAnsi="宋体"/>
        <w:sz w:val="28"/>
      </w:rPr>
      <w:fldChar w:fldCharType="end"/>
    </w:r>
  </w:p>
  <w:p w:rsidR="005E3413" w:rsidRDefault="005E3413">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638" w:rsidRDefault="00865638" w:rsidP="005E3413">
      <w:r>
        <w:separator/>
      </w:r>
    </w:p>
  </w:footnote>
  <w:footnote w:type="continuationSeparator" w:id="0">
    <w:p w:rsidR="00865638" w:rsidRDefault="00865638" w:rsidP="005E34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proofState w:spelling="clean" w:grammar="clean"/>
  <w:documentProtection w:edit="comments" w:enforcement="1" w:cryptProviderType="rsaFull" w:cryptAlgorithmClass="hash" w:cryptAlgorithmType="typeAny" w:cryptAlgorithmSid="4" w:cryptSpinCount="50000" w:hash="BXPGufs4hoAJQyTsI9K2K6vMEkk=" w:salt="LV0BVZcuJjyladiEUU/1oA=="/>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45B2C"/>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6B7"/>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2EB1"/>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3759"/>
    <w:rsid w:val="005857A0"/>
    <w:rsid w:val="00591E58"/>
    <w:rsid w:val="00592D42"/>
    <w:rsid w:val="005A5B02"/>
    <w:rsid w:val="005B3245"/>
    <w:rsid w:val="005B6754"/>
    <w:rsid w:val="005B75C0"/>
    <w:rsid w:val="005C3143"/>
    <w:rsid w:val="005D311B"/>
    <w:rsid w:val="005D61D8"/>
    <w:rsid w:val="005E011D"/>
    <w:rsid w:val="005E3413"/>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24A4B"/>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5638"/>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0964"/>
    <w:rsid w:val="00B717C5"/>
    <w:rsid w:val="00B75463"/>
    <w:rsid w:val="00B76C9B"/>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3D56"/>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2985"/>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701443"/>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775447B"/>
    <w:rsid w:val="78071142"/>
    <w:rsid w:val="79296B37"/>
    <w:rsid w:val="7A4C4C40"/>
    <w:rsid w:val="7AA0518E"/>
    <w:rsid w:val="7B041636"/>
    <w:rsid w:val="7CA86749"/>
    <w:rsid w:val="7EC92370"/>
    <w:rsid w:val="7F2238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41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E3413"/>
    <w:pPr>
      <w:jc w:val="left"/>
    </w:pPr>
  </w:style>
  <w:style w:type="paragraph" w:styleId="a4">
    <w:name w:val="Balloon Text"/>
    <w:basedOn w:val="a"/>
    <w:link w:val="Char0"/>
    <w:uiPriority w:val="99"/>
    <w:semiHidden/>
    <w:unhideWhenUsed/>
    <w:qFormat/>
    <w:rsid w:val="005E3413"/>
    <w:rPr>
      <w:sz w:val="18"/>
      <w:szCs w:val="18"/>
    </w:rPr>
  </w:style>
  <w:style w:type="paragraph" w:styleId="a5">
    <w:name w:val="footer"/>
    <w:basedOn w:val="a"/>
    <w:link w:val="Char1"/>
    <w:qFormat/>
    <w:rsid w:val="005E3413"/>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rsid w:val="005E3413"/>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5E3413"/>
    <w:rPr>
      <w:b/>
      <w:bCs/>
    </w:rPr>
  </w:style>
  <w:style w:type="character" w:styleId="a8">
    <w:name w:val="page number"/>
    <w:basedOn w:val="a0"/>
    <w:qFormat/>
    <w:rsid w:val="005E3413"/>
  </w:style>
  <w:style w:type="character" w:styleId="a9">
    <w:name w:val="annotation reference"/>
    <w:basedOn w:val="a0"/>
    <w:uiPriority w:val="99"/>
    <w:semiHidden/>
    <w:unhideWhenUsed/>
    <w:qFormat/>
    <w:rsid w:val="005E3413"/>
    <w:rPr>
      <w:sz w:val="21"/>
      <w:szCs w:val="21"/>
    </w:rPr>
  </w:style>
  <w:style w:type="character" w:customStyle="1" w:styleId="Char1">
    <w:name w:val="页脚 Char"/>
    <w:basedOn w:val="a0"/>
    <w:link w:val="a5"/>
    <w:qFormat/>
    <w:rsid w:val="005E3413"/>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sid w:val="005E3413"/>
    <w:rPr>
      <w:rFonts w:ascii="Times New Roman" w:eastAsia="宋体" w:hAnsi="Times New Roman" w:cs="Times New Roman"/>
      <w:szCs w:val="24"/>
    </w:rPr>
  </w:style>
  <w:style w:type="character" w:customStyle="1" w:styleId="Char3">
    <w:name w:val="批注主题 Char"/>
    <w:basedOn w:val="Char"/>
    <w:link w:val="a7"/>
    <w:uiPriority w:val="99"/>
    <w:semiHidden/>
    <w:qFormat/>
    <w:rsid w:val="005E3413"/>
    <w:rPr>
      <w:rFonts w:ascii="Times New Roman" w:eastAsia="宋体" w:hAnsi="Times New Roman" w:cs="Times New Roman"/>
      <w:b/>
      <w:bCs/>
      <w:szCs w:val="24"/>
    </w:rPr>
  </w:style>
  <w:style w:type="character" w:customStyle="1" w:styleId="Char0">
    <w:name w:val="批注框文本 Char"/>
    <w:basedOn w:val="a0"/>
    <w:link w:val="a4"/>
    <w:uiPriority w:val="99"/>
    <w:semiHidden/>
    <w:qFormat/>
    <w:rsid w:val="005E3413"/>
    <w:rPr>
      <w:rFonts w:ascii="Times New Roman" w:eastAsia="宋体" w:hAnsi="Times New Roman" w:cs="Times New Roman"/>
      <w:sz w:val="18"/>
      <w:szCs w:val="18"/>
    </w:rPr>
  </w:style>
  <w:style w:type="character" w:customStyle="1" w:styleId="Char2">
    <w:name w:val="页眉 Char"/>
    <w:basedOn w:val="a0"/>
    <w:link w:val="a6"/>
    <w:uiPriority w:val="99"/>
    <w:qFormat/>
    <w:rsid w:val="005E3413"/>
    <w:rPr>
      <w:rFonts w:ascii="Times New Roman" w:eastAsia="宋体" w:hAnsi="Times New Roman" w:cs="Times New Roman"/>
      <w:sz w:val="18"/>
      <w:szCs w:val="18"/>
    </w:rPr>
  </w:style>
  <w:style w:type="table" w:styleId="aa">
    <w:name w:val="Table Grid"/>
    <w:basedOn w:val="a1"/>
    <w:uiPriority w:val="59"/>
    <w:rsid w:val="002B56B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1731</Words>
  <Characters>9868</Characters>
  <Application>Microsoft Office Word</Application>
  <DocSecurity>8</DocSecurity>
  <Lines>82</Lines>
  <Paragraphs>23</Paragraphs>
  <ScaleCrop>false</ScaleCrop>
  <Company>微软中国</Company>
  <LinksUpToDate>false</LinksUpToDate>
  <CharactersWithSpaces>11576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喀地财库-任雯</cp:lastModifiedBy>
  <cp:revision>820</cp:revision>
  <dcterms:created xsi:type="dcterms:W3CDTF">2019-05-30T09:42:00Z</dcterms:created>
  <dcterms:modified xsi:type="dcterms:W3CDTF">2021-07-11T12:53:00Z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